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5998B" w14:textId="77777777" w:rsidR="00C23611" w:rsidRDefault="00C23611" w:rsidP="008E6D49">
      <w:pPr>
        <w:tabs>
          <w:tab w:val="left" w:pos="8505"/>
        </w:tabs>
        <w:jc w:val="both"/>
        <w:rPr>
          <w:b/>
          <w:sz w:val="22"/>
          <w:szCs w:val="22"/>
        </w:rPr>
      </w:pPr>
    </w:p>
    <w:p w14:paraId="00A80B45" w14:textId="77777777" w:rsidR="008E0B22" w:rsidRDefault="008E0B22" w:rsidP="00367BEF">
      <w:pPr>
        <w:tabs>
          <w:tab w:val="left" w:pos="8505"/>
        </w:tabs>
        <w:jc w:val="both"/>
        <w:rPr>
          <w:b/>
          <w:sz w:val="22"/>
          <w:szCs w:val="22"/>
        </w:rPr>
      </w:pPr>
    </w:p>
    <w:p w14:paraId="07D040A4" w14:textId="42AB5CEE" w:rsidR="00EA6152" w:rsidRDefault="00EA6152" w:rsidP="00367BEF">
      <w:pPr>
        <w:tabs>
          <w:tab w:val="left" w:pos="8505"/>
        </w:tabs>
        <w:jc w:val="both"/>
        <w:rPr>
          <w:b/>
          <w:sz w:val="22"/>
          <w:szCs w:val="22"/>
        </w:rPr>
      </w:pPr>
      <w:r w:rsidRPr="00367BEF">
        <w:rPr>
          <w:b/>
          <w:sz w:val="22"/>
          <w:szCs w:val="22"/>
        </w:rPr>
        <w:t xml:space="preserve">DECRETO N° </w:t>
      </w:r>
      <w:r w:rsidR="009660D4" w:rsidRPr="00367BEF">
        <w:rPr>
          <w:b/>
          <w:sz w:val="22"/>
          <w:szCs w:val="22"/>
        </w:rPr>
        <w:t>2</w:t>
      </w:r>
      <w:r w:rsidR="0050292E" w:rsidRPr="00367BEF">
        <w:rPr>
          <w:b/>
          <w:sz w:val="22"/>
          <w:szCs w:val="22"/>
        </w:rPr>
        <w:t>5</w:t>
      </w:r>
      <w:r w:rsidR="006B2EDC">
        <w:rPr>
          <w:b/>
          <w:sz w:val="22"/>
          <w:szCs w:val="22"/>
        </w:rPr>
        <w:t>7</w:t>
      </w:r>
      <w:r w:rsidR="00276240" w:rsidRPr="00367BEF">
        <w:rPr>
          <w:b/>
          <w:sz w:val="22"/>
          <w:szCs w:val="22"/>
        </w:rPr>
        <w:t>/20</w:t>
      </w:r>
      <w:r w:rsidR="00950714" w:rsidRPr="00367BEF">
        <w:rPr>
          <w:b/>
          <w:sz w:val="22"/>
          <w:szCs w:val="22"/>
        </w:rPr>
        <w:t>20</w:t>
      </w:r>
      <w:r w:rsidR="00276240" w:rsidRPr="00367BEF">
        <w:rPr>
          <w:b/>
          <w:sz w:val="22"/>
          <w:szCs w:val="22"/>
        </w:rPr>
        <w:t xml:space="preserve">        </w:t>
      </w:r>
      <w:r w:rsidRPr="00367BEF">
        <w:rPr>
          <w:b/>
          <w:sz w:val="22"/>
          <w:szCs w:val="22"/>
        </w:rPr>
        <w:t xml:space="preserve"> </w:t>
      </w:r>
      <w:r w:rsidR="00E63C25" w:rsidRPr="00367BEF">
        <w:rPr>
          <w:b/>
          <w:sz w:val="22"/>
          <w:szCs w:val="22"/>
        </w:rPr>
        <w:t xml:space="preserve">    </w:t>
      </w:r>
      <w:r w:rsidRPr="00367BEF">
        <w:rPr>
          <w:b/>
          <w:sz w:val="22"/>
          <w:szCs w:val="22"/>
        </w:rPr>
        <w:t xml:space="preserve"> </w:t>
      </w:r>
      <w:r w:rsidR="004C6EEC" w:rsidRPr="00367BEF">
        <w:rPr>
          <w:b/>
          <w:sz w:val="22"/>
          <w:szCs w:val="22"/>
        </w:rPr>
        <w:t xml:space="preserve">        </w:t>
      </w:r>
      <w:r w:rsidR="00F05DE5" w:rsidRPr="00367BEF">
        <w:rPr>
          <w:b/>
          <w:sz w:val="22"/>
          <w:szCs w:val="22"/>
        </w:rPr>
        <w:t xml:space="preserve">        </w:t>
      </w:r>
      <w:r w:rsidR="007962F5" w:rsidRPr="00367BEF">
        <w:rPr>
          <w:b/>
          <w:sz w:val="22"/>
          <w:szCs w:val="22"/>
        </w:rPr>
        <w:t xml:space="preserve">  </w:t>
      </w:r>
      <w:r w:rsidR="00F05DE5" w:rsidRPr="00367BEF">
        <w:rPr>
          <w:b/>
          <w:sz w:val="22"/>
          <w:szCs w:val="22"/>
        </w:rPr>
        <w:t xml:space="preserve"> </w:t>
      </w:r>
      <w:r w:rsidR="009227E5" w:rsidRPr="00367BEF">
        <w:rPr>
          <w:b/>
          <w:sz w:val="22"/>
          <w:szCs w:val="22"/>
        </w:rPr>
        <w:t xml:space="preserve">    </w:t>
      </w:r>
      <w:r w:rsidR="00F05DE5" w:rsidRPr="00367BEF">
        <w:rPr>
          <w:b/>
          <w:sz w:val="22"/>
          <w:szCs w:val="22"/>
        </w:rPr>
        <w:t xml:space="preserve">   DE</w:t>
      </w:r>
      <w:r w:rsidR="00CA004B" w:rsidRPr="00367BEF">
        <w:rPr>
          <w:b/>
          <w:sz w:val="22"/>
          <w:szCs w:val="22"/>
        </w:rPr>
        <w:t xml:space="preserve"> </w:t>
      </w:r>
      <w:r w:rsidR="00B50CEC" w:rsidRPr="00367BEF">
        <w:rPr>
          <w:b/>
          <w:sz w:val="22"/>
          <w:szCs w:val="22"/>
        </w:rPr>
        <w:t>2</w:t>
      </w:r>
      <w:r w:rsidR="006B2EDC">
        <w:rPr>
          <w:b/>
          <w:sz w:val="22"/>
          <w:szCs w:val="22"/>
        </w:rPr>
        <w:t>8</w:t>
      </w:r>
      <w:r w:rsidRPr="00367BEF">
        <w:rPr>
          <w:b/>
          <w:sz w:val="22"/>
          <w:szCs w:val="22"/>
        </w:rPr>
        <w:t xml:space="preserve"> DE </w:t>
      </w:r>
      <w:r w:rsidR="009660D4" w:rsidRPr="00367BEF">
        <w:rPr>
          <w:b/>
          <w:sz w:val="22"/>
          <w:szCs w:val="22"/>
        </w:rPr>
        <w:t xml:space="preserve">SETEMBRO </w:t>
      </w:r>
      <w:r w:rsidRPr="00367BEF">
        <w:rPr>
          <w:b/>
          <w:sz w:val="22"/>
          <w:szCs w:val="22"/>
        </w:rPr>
        <w:t>DE 20</w:t>
      </w:r>
      <w:r w:rsidR="00950714" w:rsidRPr="00367BEF">
        <w:rPr>
          <w:b/>
          <w:sz w:val="22"/>
          <w:szCs w:val="22"/>
        </w:rPr>
        <w:t>20</w:t>
      </w:r>
      <w:r w:rsidRPr="00367BEF">
        <w:rPr>
          <w:b/>
          <w:sz w:val="22"/>
          <w:szCs w:val="22"/>
        </w:rPr>
        <w:t>.</w:t>
      </w:r>
    </w:p>
    <w:p w14:paraId="0966B2B4" w14:textId="43E25811" w:rsidR="008E0B22" w:rsidRDefault="008E0B22" w:rsidP="00367BEF">
      <w:pPr>
        <w:tabs>
          <w:tab w:val="left" w:pos="8505"/>
        </w:tabs>
        <w:jc w:val="both"/>
        <w:rPr>
          <w:b/>
          <w:sz w:val="22"/>
          <w:szCs w:val="22"/>
        </w:rPr>
      </w:pPr>
    </w:p>
    <w:p w14:paraId="565AB88F" w14:textId="77777777" w:rsidR="006B2EDC" w:rsidRDefault="006B2EDC" w:rsidP="006B2EDC">
      <w:pPr>
        <w:pStyle w:val="Default"/>
        <w:ind w:left="2835"/>
        <w:jc w:val="both"/>
        <w:rPr>
          <w:rFonts w:ascii="Garamond" w:hAnsi="Garamond"/>
          <w:b/>
        </w:rPr>
      </w:pPr>
      <w:r>
        <w:rPr>
          <w:rFonts w:ascii="Garamond" w:hAnsi="Garamond"/>
          <w:b/>
        </w:rPr>
        <w:t>REGULAMENTA, NO ÂMBITO MUNICIPAL, A LEI FEDERAL Nº 14.017, DE 29 DE JULHO DE 2020, QUE DISPÕE SOBRE AÇÕES EMERGENCIAIS DESTINADAS AO SETOR CULTURAL A SEREM ADOTADAS DURANTE O ESTADO DE CALAMIDADE PÚBLICA RECONHECIDO PELO DECRETO Nº 6, DE 20 DE MARÇO DE 2020, INSTITUI O COMITÊ GESTOR DE ACOMPANHAMENTO, OPERACIONALIZAÇÃO E APLICAÇÃO DOS RECURSOS REPASSADOS PELA UNIÃO POR INTERMÉDIO DA LEI 14.017, DE 2020 (LEI ALDIR BLANC) E DÁ OUTRAS PROVIDÊNCIAS.</w:t>
      </w:r>
    </w:p>
    <w:p w14:paraId="71673690" w14:textId="77777777" w:rsidR="006B2EDC" w:rsidRDefault="006B2EDC" w:rsidP="006B2EDC">
      <w:pPr>
        <w:pStyle w:val="Default"/>
        <w:jc w:val="both"/>
        <w:rPr>
          <w:rFonts w:ascii="Garamond" w:hAnsi="Garamond"/>
          <w:bCs/>
          <w:iCs/>
        </w:rPr>
      </w:pPr>
    </w:p>
    <w:p w14:paraId="76845248" w14:textId="77777777" w:rsidR="006B2EDC" w:rsidRDefault="006B2EDC" w:rsidP="006B2EDC">
      <w:pPr>
        <w:pStyle w:val="Default"/>
        <w:ind w:firstLine="709"/>
        <w:jc w:val="both"/>
        <w:rPr>
          <w:rFonts w:ascii="Garamond" w:hAnsi="Garamond"/>
        </w:rPr>
      </w:pPr>
      <w:r>
        <w:rPr>
          <w:rFonts w:ascii="Garamond" w:hAnsi="Garamond"/>
          <w:b/>
          <w:bCs/>
        </w:rPr>
        <w:t>O PREFEITO MUNICIPAL DE BIGUAÇU</w:t>
      </w:r>
      <w:r>
        <w:rPr>
          <w:rFonts w:ascii="Garamond" w:hAnsi="Garamond"/>
        </w:rPr>
        <w:t>, no uso das atribuições que lhe são conferidas pelo art. 98, inciso VI, da Lei Orgânica do Município de Biguaçu, e tendo em vista o disposto na Lei Federal nº 14.017, de 29 de junho de 2020, e no Decreto nº 10.464, de 17 de agosto de 2020,</w:t>
      </w:r>
    </w:p>
    <w:p w14:paraId="5ADD5A5E" w14:textId="77777777" w:rsidR="006B2EDC" w:rsidRDefault="006B2EDC" w:rsidP="006B2EDC">
      <w:pPr>
        <w:pStyle w:val="Default"/>
        <w:ind w:firstLine="709"/>
        <w:jc w:val="both"/>
        <w:rPr>
          <w:rFonts w:ascii="Garamond" w:hAnsi="Garamond"/>
          <w:b/>
          <w:bCs/>
        </w:rPr>
      </w:pPr>
    </w:p>
    <w:p w14:paraId="1F986364" w14:textId="66014C6A" w:rsidR="006B2EDC" w:rsidRDefault="006B2EDC" w:rsidP="006B2EDC">
      <w:pPr>
        <w:pStyle w:val="Default"/>
        <w:ind w:firstLine="709"/>
        <w:jc w:val="both"/>
        <w:rPr>
          <w:rFonts w:ascii="Garamond" w:hAnsi="Garamond"/>
        </w:rPr>
      </w:pPr>
      <w:r>
        <w:rPr>
          <w:rFonts w:ascii="Garamond" w:hAnsi="Garamond"/>
          <w:b/>
          <w:bCs/>
        </w:rPr>
        <w:t xml:space="preserve">DECRETA: </w:t>
      </w:r>
    </w:p>
    <w:p w14:paraId="3429A7EE" w14:textId="77777777" w:rsidR="006B2EDC" w:rsidRDefault="006B2EDC" w:rsidP="006B2EDC">
      <w:pPr>
        <w:pStyle w:val="Default"/>
        <w:jc w:val="both"/>
        <w:rPr>
          <w:rFonts w:ascii="Garamond" w:hAnsi="Garamond"/>
          <w:bCs/>
        </w:rPr>
      </w:pPr>
    </w:p>
    <w:p w14:paraId="3D1C1C92" w14:textId="77777777" w:rsidR="006B2EDC" w:rsidRDefault="006B2EDC" w:rsidP="006B2EDC">
      <w:pPr>
        <w:pStyle w:val="Default"/>
        <w:jc w:val="both"/>
        <w:rPr>
          <w:rFonts w:ascii="Garamond" w:hAnsi="Garamond"/>
          <w:bCs/>
        </w:rPr>
      </w:pPr>
      <w:r>
        <w:rPr>
          <w:rFonts w:ascii="Garamond" w:hAnsi="Garamond"/>
          <w:b/>
        </w:rPr>
        <w:t>Art. 1º.</w:t>
      </w:r>
      <w:r>
        <w:rPr>
          <w:rFonts w:ascii="Garamond" w:hAnsi="Garamond"/>
          <w:bCs/>
        </w:rPr>
        <w:t xml:space="preserve"> Este Decreto regulamenta, no âmbito municipal, a Lei nº 14.017, de 29 de junho de 2020, que dispõe sobre ações emergenciais destinadas ao setor cultural a serem adotadas durante o estado de calamidade pública reconhecido pelo Decreto Legislativo nº 6, de 20 de março de 2020.</w:t>
      </w:r>
    </w:p>
    <w:p w14:paraId="7A80CEF9" w14:textId="77777777" w:rsidR="006B2EDC" w:rsidRDefault="006B2EDC" w:rsidP="006B2EDC">
      <w:pPr>
        <w:pStyle w:val="Default"/>
        <w:jc w:val="both"/>
        <w:rPr>
          <w:rFonts w:ascii="Garamond" w:hAnsi="Garamond"/>
          <w:bCs/>
        </w:rPr>
      </w:pPr>
    </w:p>
    <w:p w14:paraId="3A9120AA" w14:textId="77777777" w:rsidR="006B2EDC" w:rsidRDefault="006B2EDC" w:rsidP="006B2EDC">
      <w:pPr>
        <w:pStyle w:val="Default"/>
        <w:jc w:val="both"/>
        <w:rPr>
          <w:rFonts w:ascii="Garamond" w:hAnsi="Garamond"/>
        </w:rPr>
      </w:pPr>
      <w:r>
        <w:rPr>
          <w:rFonts w:ascii="Garamond" w:hAnsi="Garamond"/>
          <w:b/>
        </w:rPr>
        <w:t>Art. 2º.</w:t>
      </w:r>
      <w:r>
        <w:rPr>
          <w:rFonts w:ascii="Garamond" w:hAnsi="Garamond"/>
          <w:bCs/>
        </w:rPr>
        <w:t xml:space="preserve"> O Município de Biguaçu, </w:t>
      </w:r>
      <w:r>
        <w:rPr>
          <w:rFonts w:ascii="Garamond" w:hAnsi="Garamond"/>
        </w:rPr>
        <w:t>por meio da Secretaria Municipal de Cultura, Esporte, Turismo e Lazer - SECETUL, executará os recursos recebidos da União, nos termos da Lei Federal nº 14.017, de 29 de junho de 2020, competindo-lhe:</w:t>
      </w:r>
    </w:p>
    <w:p w14:paraId="6C9EFD7C" w14:textId="77777777" w:rsidR="006B2EDC" w:rsidRDefault="006B2EDC" w:rsidP="006B2EDC">
      <w:pPr>
        <w:pStyle w:val="Default"/>
        <w:jc w:val="both"/>
        <w:rPr>
          <w:rFonts w:ascii="Garamond" w:hAnsi="Garamond"/>
        </w:rPr>
      </w:pPr>
    </w:p>
    <w:p w14:paraId="2A6F752F" w14:textId="77777777" w:rsidR="006B2EDC" w:rsidRDefault="006B2EDC" w:rsidP="006B2EDC">
      <w:pPr>
        <w:pStyle w:val="Default"/>
        <w:jc w:val="both"/>
        <w:rPr>
          <w:rFonts w:ascii="Garamond" w:hAnsi="Garamond"/>
          <w:bCs/>
        </w:rPr>
      </w:pPr>
      <w:r>
        <w:rPr>
          <w:rFonts w:ascii="Garamond" w:hAnsi="Garamond"/>
          <w:b/>
          <w:bCs/>
        </w:rPr>
        <w:t>I -</w:t>
      </w:r>
      <w:r>
        <w:rPr>
          <w:rFonts w:ascii="Garamond" w:hAnsi="Garamond"/>
        </w:rPr>
        <w:t xml:space="preserve"> </w:t>
      </w:r>
      <w:r>
        <w:rPr>
          <w:rFonts w:ascii="Garamond" w:hAnsi="Garamond"/>
          <w:bCs/>
        </w:rPr>
        <w:t xml:space="preserve">distribuir os subsídios mensais para a manutenção de espaços artísticos e culturais, microempresas e pequenas empresas culturais, cooperativas, instituições e organizações culturais comunitárias que tiveram as suas atividades interrompidas por força das medidas de isolamento social, em observância ao disposto no inciso II do caput do art. 2º da Lei nº 14.017, de 2020; </w:t>
      </w:r>
    </w:p>
    <w:p w14:paraId="4A11A018" w14:textId="77777777" w:rsidR="006B2EDC" w:rsidRDefault="006B2EDC" w:rsidP="006B2EDC">
      <w:pPr>
        <w:pStyle w:val="Default"/>
        <w:jc w:val="both"/>
        <w:rPr>
          <w:rFonts w:ascii="Garamond" w:hAnsi="Garamond"/>
          <w:bCs/>
        </w:rPr>
      </w:pPr>
      <w:r>
        <w:rPr>
          <w:rFonts w:ascii="Garamond" w:hAnsi="Garamond"/>
          <w:b/>
        </w:rPr>
        <w:t>II -</w:t>
      </w:r>
      <w:r>
        <w:rPr>
          <w:rFonts w:ascii="Garamond" w:hAnsi="Garamond"/>
          <w:bCs/>
        </w:rPr>
        <w:t xml:space="preserve">  elaborar e publicar editais, chamadas públicas ou  outros  instrumentos aplicáveis  para  prêmios,  aquisição  de  bens  e  serviços  vinculados  ao  setor cultural, manutenção de agentes, de espaços, de iniciativas, de cursos, de produções, de desenvolvimento de atividades de economia criativa e de economia solidária, de produções audiovisuais, de manifestações culturais, e realização de atividades artísticas e culturais que possam ser transmitidas pela internet ou disponibilizadas por meio de redes sociais e outras plataformas digitais, em observância ao disposto no inciso III do caput do art. 2º da Lei nº 14.017, de2020.</w:t>
      </w:r>
    </w:p>
    <w:p w14:paraId="21379E19" w14:textId="77777777" w:rsidR="006B2EDC" w:rsidRDefault="006B2EDC" w:rsidP="006B2EDC">
      <w:pPr>
        <w:pStyle w:val="Default"/>
        <w:jc w:val="both"/>
        <w:rPr>
          <w:rFonts w:ascii="Garamond" w:hAnsi="Garamond"/>
          <w:bCs/>
        </w:rPr>
      </w:pPr>
    </w:p>
    <w:p w14:paraId="6DB8F5B4" w14:textId="77777777" w:rsidR="006B2EDC" w:rsidRDefault="006B2EDC" w:rsidP="006B2EDC">
      <w:pPr>
        <w:pStyle w:val="Default"/>
        <w:jc w:val="both"/>
        <w:rPr>
          <w:rFonts w:ascii="Garamond" w:hAnsi="Garamond"/>
          <w:bCs/>
        </w:rPr>
      </w:pPr>
      <w:r>
        <w:rPr>
          <w:rFonts w:ascii="Garamond" w:hAnsi="Garamond"/>
          <w:b/>
        </w:rPr>
        <w:t>§ 1º.</w:t>
      </w:r>
      <w:r>
        <w:rPr>
          <w:rFonts w:ascii="Garamond" w:hAnsi="Garamond"/>
          <w:bCs/>
        </w:rPr>
        <w:t xml:space="preserve"> Do valor recebido da União, pelo menos vinte por cento serão destinados às ações emergenciais previstas no inciso II do caput.</w:t>
      </w:r>
    </w:p>
    <w:p w14:paraId="6BB6E550" w14:textId="77777777" w:rsidR="006B2EDC" w:rsidRDefault="006B2EDC" w:rsidP="006B2EDC">
      <w:pPr>
        <w:pStyle w:val="Default"/>
        <w:jc w:val="both"/>
        <w:rPr>
          <w:rFonts w:ascii="Garamond" w:hAnsi="Garamond"/>
          <w:bCs/>
        </w:rPr>
      </w:pPr>
    </w:p>
    <w:p w14:paraId="62880FB1" w14:textId="77777777" w:rsidR="006B2EDC" w:rsidRDefault="006B2EDC" w:rsidP="006B2EDC">
      <w:pPr>
        <w:pStyle w:val="Default"/>
        <w:jc w:val="both"/>
        <w:rPr>
          <w:rFonts w:ascii="Garamond" w:hAnsi="Garamond"/>
          <w:bCs/>
        </w:rPr>
      </w:pPr>
      <w:r>
        <w:rPr>
          <w:rFonts w:ascii="Garamond" w:hAnsi="Garamond"/>
          <w:b/>
        </w:rPr>
        <w:t>§ 2º.</w:t>
      </w:r>
      <w:r>
        <w:rPr>
          <w:rFonts w:ascii="Garamond" w:hAnsi="Garamond"/>
          <w:bCs/>
        </w:rPr>
        <w:t xml:space="preserve"> Os beneficiários dos recursos contemplados na Lei nº 14.017, de 2020, e neste Decreto deverão residir e estar domiciliados no território municipal e as empresas devem estar estabelecidas e sediadas no município. </w:t>
      </w:r>
    </w:p>
    <w:p w14:paraId="18CEED38" w14:textId="77777777" w:rsidR="006B2EDC" w:rsidRDefault="006B2EDC" w:rsidP="006B2EDC">
      <w:pPr>
        <w:pStyle w:val="Default"/>
        <w:jc w:val="both"/>
        <w:rPr>
          <w:rFonts w:ascii="Garamond" w:hAnsi="Garamond"/>
          <w:bCs/>
        </w:rPr>
      </w:pPr>
    </w:p>
    <w:p w14:paraId="556F30BE" w14:textId="04F80A4F" w:rsidR="006B2EDC" w:rsidRDefault="006B2EDC" w:rsidP="006B2EDC">
      <w:pPr>
        <w:pStyle w:val="Default"/>
        <w:jc w:val="both"/>
        <w:rPr>
          <w:rFonts w:ascii="Garamond" w:hAnsi="Garamond"/>
          <w:bCs/>
        </w:rPr>
      </w:pPr>
      <w:r>
        <w:rPr>
          <w:rFonts w:ascii="Garamond" w:hAnsi="Garamond"/>
          <w:b/>
        </w:rPr>
        <w:lastRenderedPageBreak/>
        <w:t>§ 3º.</w:t>
      </w:r>
      <w:r>
        <w:rPr>
          <w:rFonts w:ascii="Garamond" w:hAnsi="Garamond"/>
          <w:bCs/>
        </w:rPr>
        <w:t xml:space="preserve"> O pagamento dos recursos destinados ao cumprimento do disposto nos incisos I e II do </w:t>
      </w:r>
      <w:r>
        <w:rPr>
          <w:rFonts w:ascii="Garamond" w:hAnsi="Garamond"/>
          <w:bCs/>
          <w:i/>
        </w:rPr>
        <w:t>caput</w:t>
      </w:r>
      <w:r>
        <w:rPr>
          <w:rFonts w:ascii="Garamond" w:hAnsi="Garamond"/>
          <w:bCs/>
        </w:rPr>
        <w:t xml:space="preserve"> fica condicionado à verificação de elegibilidade do beneficiário, realizada por meio de consulta prévia a base de dados em âmbito federal disponibilizada pelo Ministério do Turismo.</w:t>
      </w:r>
    </w:p>
    <w:p w14:paraId="3AB02AD4" w14:textId="77777777" w:rsidR="00D9146B" w:rsidRDefault="00D9146B" w:rsidP="006B2EDC">
      <w:pPr>
        <w:pStyle w:val="Default"/>
        <w:jc w:val="both"/>
        <w:rPr>
          <w:rFonts w:ascii="Garamond" w:hAnsi="Garamond"/>
          <w:bCs/>
        </w:rPr>
      </w:pPr>
    </w:p>
    <w:p w14:paraId="25ADDA18" w14:textId="77777777" w:rsidR="006B2EDC" w:rsidRDefault="006B2EDC" w:rsidP="006B2EDC">
      <w:pPr>
        <w:pStyle w:val="Default"/>
        <w:jc w:val="both"/>
        <w:rPr>
          <w:rFonts w:ascii="Garamond" w:hAnsi="Garamond"/>
          <w:bCs/>
        </w:rPr>
      </w:pPr>
      <w:r>
        <w:rPr>
          <w:rFonts w:ascii="Garamond" w:hAnsi="Garamond"/>
          <w:b/>
        </w:rPr>
        <w:t>§ 4º.</w:t>
      </w:r>
      <w:r>
        <w:rPr>
          <w:rFonts w:ascii="Garamond" w:hAnsi="Garamond"/>
          <w:bCs/>
        </w:rPr>
        <w:t xml:space="preserve"> A verificação de elegibilidade do beneficiário de que trata o § 3º não dispensa a realização de outras consultas a bases de dados de outros entes federados, cujas informações obtidas deverão ser homologadas pelo Ministério do Turismo.</w:t>
      </w:r>
    </w:p>
    <w:p w14:paraId="199481DE" w14:textId="77777777" w:rsidR="006B2EDC" w:rsidRDefault="006B2EDC" w:rsidP="006B2EDC">
      <w:pPr>
        <w:pStyle w:val="Default"/>
        <w:jc w:val="both"/>
        <w:rPr>
          <w:rFonts w:ascii="Garamond" w:hAnsi="Garamond"/>
          <w:bCs/>
        </w:rPr>
      </w:pPr>
    </w:p>
    <w:p w14:paraId="7146EF7F" w14:textId="77777777" w:rsidR="006B2EDC" w:rsidRDefault="006B2EDC" w:rsidP="006B2EDC">
      <w:pPr>
        <w:pStyle w:val="Default"/>
        <w:jc w:val="both"/>
        <w:rPr>
          <w:rFonts w:ascii="Garamond" w:hAnsi="Garamond"/>
          <w:bCs/>
        </w:rPr>
      </w:pPr>
      <w:r>
        <w:rPr>
          <w:rFonts w:ascii="Garamond" w:hAnsi="Garamond"/>
          <w:b/>
        </w:rPr>
        <w:t>Art. 3º.</w:t>
      </w:r>
      <w:r>
        <w:rPr>
          <w:rFonts w:ascii="Garamond" w:hAnsi="Garamond"/>
          <w:bCs/>
        </w:rPr>
        <w:t xml:space="preserve"> O subsídio mensal de que trata o inciso I do caput do art. 2º terá valor mínimo de R$ 3.000,00 (três mil reais) e máximo de R$ 10.000,00 (dez mil reais), de acordo com critérios estabelecidos em edital.</w:t>
      </w:r>
    </w:p>
    <w:p w14:paraId="495ED0C6" w14:textId="77777777" w:rsidR="006B2EDC" w:rsidRDefault="006B2EDC" w:rsidP="006B2EDC">
      <w:pPr>
        <w:pStyle w:val="Default"/>
        <w:jc w:val="both"/>
        <w:rPr>
          <w:rFonts w:ascii="Garamond" w:hAnsi="Garamond"/>
          <w:bCs/>
        </w:rPr>
      </w:pPr>
    </w:p>
    <w:p w14:paraId="557C1CA9" w14:textId="77777777" w:rsidR="006B2EDC" w:rsidRDefault="006B2EDC" w:rsidP="006B2EDC">
      <w:pPr>
        <w:pStyle w:val="Default"/>
        <w:jc w:val="both"/>
        <w:rPr>
          <w:rFonts w:ascii="Garamond" w:hAnsi="Garamond"/>
          <w:bCs/>
          <w:color w:val="auto"/>
        </w:rPr>
      </w:pPr>
      <w:r>
        <w:rPr>
          <w:rFonts w:ascii="Garamond" w:hAnsi="Garamond"/>
          <w:b/>
        </w:rPr>
        <w:t>Parágrafo único.</w:t>
      </w:r>
      <w:r>
        <w:rPr>
          <w:rFonts w:ascii="Garamond" w:hAnsi="Garamond"/>
          <w:bCs/>
        </w:rPr>
        <w:t xml:space="preserve"> Os critérios estabelecidos em edital, os quais terão ampla transparência e publicidade, serão informados detalhadamente no relatório de gestão final a que se refere o Anexo I, disponível para preenchimento na Plataforma +Brasi</w:t>
      </w:r>
      <w:r>
        <w:rPr>
          <w:rFonts w:ascii="Garamond" w:hAnsi="Garamond"/>
          <w:bCs/>
          <w:color w:val="auto"/>
        </w:rPr>
        <w:t>l.</w:t>
      </w:r>
    </w:p>
    <w:p w14:paraId="15646C58" w14:textId="77777777" w:rsidR="006B2EDC" w:rsidRDefault="006B2EDC" w:rsidP="006B2EDC">
      <w:pPr>
        <w:pStyle w:val="Default"/>
        <w:jc w:val="both"/>
        <w:rPr>
          <w:rFonts w:ascii="Garamond" w:hAnsi="Garamond"/>
          <w:bCs/>
          <w:color w:val="auto"/>
        </w:rPr>
      </w:pPr>
    </w:p>
    <w:p w14:paraId="489D237E" w14:textId="77777777" w:rsidR="006B2EDC" w:rsidRDefault="006B2EDC" w:rsidP="006B2EDC">
      <w:pPr>
        <w:pStyle w:val="Default"/>
        <w:jc w:val="both"/>
        <w:rPr>
          <w:rFonts w:ascii="Garamond" w:hAnsi="Garamond"/>
          <w:bCs/>
        </w:rPr>
      </w:pPr>
      <w:r>
        <w:rPr>
          <w:rFonts w:ascii="Garamond" w:hAnsi="Garamond"/>
          <w:b/>
        </w:rPr>
        <w:t>Art. 4º.</w:t>
      </w:r>
      <w:r>
        <w:rPr>
          <w:rFonts w:ascii="Garamond" w:hAnsi="Garamond"/>
          <w:bCs/>
        </w:rPr>
        <w:t xml:space="preserve"> Farão jus ao subsídio mensal previsto no inciso I do caput do art. 2º as entidades de que trata o referido inciso, desde que estejam com suas atividades interrompidas e que comprovem a sua inscrição e a homologação em, no mínimo, um dos seguintes cadastros:</w:t>
      </w:r>
    </w:p>
    <w:p w14:paraId="4F67631A" w14:textId="77777777" w:rsidR="006B2EDC" w:rsidRDefault="006B2EDC" w:rsidP="006B2EDC">
      <w:pPr>
        <w:pStyle w:val="Default"/>
        <w:jc w:val="both"/>
        <w:rPr>
          <w:rFonts w:ascii="Garamond" w:hAnsi="Garamond"/>
          <w:bCs/>
        </w:rPr>
      </w:pPr>
    </w:p>
    <w:p w14:paraId="4C51BD7A" w14:textId="77777777" w:rsidR="006B2EDC" w:rsidRDefault="006B2EDC" w:rsidP="006B2EDC">
      <w:pPr>
        <w:pStyle w:val="Default"/>
        <w:jc w:val="both"/>
        <w:rPr>
          <w:rFonts w:ascii="Garamond" w:hAnsi="Garamond"/>
          <w:bCs/>
        </w:rPr>
      </w:pPr>
      <w:r>
        <w:rPr>
          <w:rFonts w:ascii="Garamond" w:hAnsi="Garamond"/>
          <w:b/>
        </w:rPr>
        <w:t>I -</w:t>
      </w:r>
      <w:r>
        <w:rPr>
          <w:rFonts w:ascii="Garamond" w:hAnsi="Garamond"/>
          <w:bCs/>
        </w:rPr>
        <w:t xml:space="preserve"> Cadastros Estaduais de Cultura;</w:t>
      </w:r>
    </w:p>
    <w:p w14:paraId="5D6F46B1" w14:textId="77777777" w:rsidR="006B2EDC" w:rsidRDefault="006B2EDC" w:rsidP="006B2EDC">
      <w:pPr>
        <w:pStyle w:val="Default"/>
        <w:jc w:val="both"/>
        <w:rPr>
          <w:rFonts w:ascii="Garamond" w:hAnsi="Garamond"/>
          <w:bCs/>
        </w:rPr>
      </w:pPr>
      <w:r>
        <w:rPr>
          <w:rFonts w:ascii="Garamond" w:hAnsi="Garamond"/>
          <w:b/>
        </w:rPr>
        <w:t>II -</w:t>
      </w:r>
      <w:r>
        <w:rPr>
          <w:rFonts w:ascii="Garamond" w:hAnsi="Garamond"/>
          <w:bCs/>
        </w:rPr>
        <w:t xml:space="preserve"> Cadastros Municipais de Cultura;</w:t>
      </w:r>
    </w:p>
    <w:p w14:paraId="11552298" w14:textId="77777777" w:rsidR="006B2EDC" w:rsidRDefault="006B2EDC" w:rsidP="006B2EDC">
      <w:pPr>
        <w:pStyle w:val="Default"/>
        <w:jc w:val="both"/>
        <w:rPr>
          <w:rFonts w:ascii="Garamond" w:hAnsi="Garamond"/>
          <w:bCs/>
        </w:rPr>
      </w:pPr>
      <w:r>
        <w:rPr>
          <w:rFonts w:ascii="Garamond" w:hAnsi="Garamond"/>
          <w:b/>
        </w:rPr>
        <w:t>III -</w:t>
      </w:r>
      <w:r>
        <w:rPr>
          <w:rFonts w:ascii="Garamond" w:hAnsi="Garamond"/>
          <w:bCs/>
        </w:rPr>
        <w:t xml:space="preserve"> Cadastro Distrital de Cultura;</w:t>
      </w:r>
    </w:p>
    <w:p w14:paraId="0EEA8469" w14:textId="77777777" w:rsidR="006B2EDC" w:rsidRDefault="006B2EDC" w:rsidP="006B2EDC">
      <w:pPr>
        <w:pStyle w:val="Default"/>
        <w:jc w:val="both"/>
        <w:rPr>
          <w:rFonts w:ascii="Garamond" w:hAnsi="Garamond"/>
          <w:bCs/>
        </w:rPr>
      </w:pPr>
      <w:r>
        <w:rPr>
          <w:rFonts w:ascii="Garamond" w:hAnsi="Garamond"/>
          <w:b/>
        </w:rPr>
        <w:t>IV -</w:t>
      </w:r>
      <w:r>
        <w:rPr>
          <w:rFonts w:ascii="Garamond" w:hAnsi="Garamond"/>
          <w:bCs/>
        </w:rPr>
        <w:t xml:space="preserve"> Cadastro Nacional de Pontos e Pontões de Cultura;</w:t>
      </w:r>
    </w:p>
    <w:p w14:paraId="00D96FD6" w14:textId="77777777" w:rsidR="006B2EDC" w:rsidRDefault="006B2EDC" w:rsidP="006B2EDC">
      <w:pPr>
        <w:pStyle w:val="Default"/>
        <w:jc w:val="both"/>
        <w:rPr>
          <w:rFonts w:ascii="Garamond" w:hAnsi="Garamond"/>
          <w:bCs/>
        </w:rPr>
      </w:pPr>
      <w:r>
        <w:rPr>
          <w:rFonts w:ascii="Garamond" w:hAnsi="Garamond"/>
          <w:b/>
        </w:rPr>
        <w:t>V -</w:t>
      </w:r>
      <w:r>
        <w:rPr>
          <w:rFonts w:ascii="Garamond" w:hAnsi="Garamond"/>
          <w:bCs/>
        </w:rPr>
        <w:t xml:space="preserve"> Cadastros Estaduais de Pontos e Pontões de Cultura;</w:t>
      </w:r>
    </w:p>
    <w:p w14:paraId="22D7674B" w14:textId="77777777" w:rsidR="006B2EDC" w:rsidRDefault="006B2EDC" w:rsidP="006B2EDC">
      <w:pPr>
        <w:pStyle w:val="Default"/>
        <w:jc w:val="both"/>
        <w:rPr>
          <w:rFonts w:ascii="Garamond" w:hAnsi="Garamond"/>
          <w:bCs/>
        </w:rPr>
      </w:pPr>
      <w:r>
        <w:rPr>
          <w:rFonts w:ascii="Garamond" w:hAnsi="Garamond"/>
          <w:b/>
        </w:rPr>
        <w:t>VI -</w:t>
      </w:r>
      <w:r>
        <w:rPr>
          <w:rFonts w:ascii="Garamond" w:hAnsi="Garamond"/>
          <w:bCs/>
        </w:rPr>
        <w:t xml:space="preserve"> Sistema Nacional de Informações e Indicadores Culturais;</w:t>
      </w:r>
    </w:p>
    <w:p w14:paraId="3FAEFB63" w14:textId="77777777" w:rsidR="006B2EDC" w:rsidRDefault="006B2EDC" w:rsidP="006B2EDC">
      <w:pPr>
        <w:pStyle w:val="Default"/>
        <w:jc w:val="both"/>
        <w:rPr>
          <w:rFonts w:ascii="Garamond" w:hAnsi="Garamond"/>
          <w:bCs/>
        </w:rPr>
      </w:pPr>
      <w:r>
        <w:rPr>
          <w:rFonts w:ascii="Garamond" w:hAnsi="Garamond"/>
          <w:b/>
        </w:rPr>
        <w:t>VII -</w:t>
      </w:r>
      <w:r>
        <w:rPr>
          <w:rFonts w:ascii="Garamond" w:hAnsi="Garamond"/>
          <w:bCs/>
        </w:rPr>
        <w:t xml:space="preserve"> Sistema de Informações Cadastrais do Artesanato Brasileiro; e</w:t>
      </w:r>
    </w:p>
    <w:p w14:paraId="0425BF2D" w14:textId="77777777" w:rsidR="006B2EDC" w:rsidRDefault="006B2EDC" w:rsidP="006B2EDC">
      <w:pPr>
        <w:pStyle w:val="Default"/>
        <w:jc w:val="both"/>
        <w:rPr>
          <w:rFonts w:ascii="Garamond" w:hAnsi="Garamond"/>
          <w:bCs/>
        </w:rPr>
      </w:pPr>
      <w:r>
        <w:rPr>
          <w:rFonts w:ascii="Garamond" w:hAnsi="Garamond"/>
          <w:b/>
        </w:rPr>
        <w:t>VIII -</w:t>
      </w:r>
      <w:r>
        <w:rPr>
          <w:rFonts w:ascii="Garamond" w:hAnsi="Garamond"/>
          <w:bCs/>
        </w:rPr>
        <w:t xml:space="preserve"> Outros cadastros referentes a atividades culturais existentes no âmbito do Município de Biguaçu, bem como projetos culturais apoiados nos termos da Lei nº 8.313, de 23 de dezembro de 1991, nos vinte e quatro meses imediatamente anteriores à data de publicação da Lei nº 14.017, de 2020.</w:t>
      </w:r>
    </w:p>
    <w:p w14:paraId="3723DBF1" w14:textId="77777777" w:rsidR="006B2EDC" w:rsidRDefault="006B2EDC" w:rsidP="006B2EDC">
      <w:pPr>
        <w:pStyle w:val="Default"/>
        <w:jc w:val="both"/>
        <w:rPr>
          <w:rFonts w:ascii="Garamond" w:hAnsi="Garamond"/>
          <w:bCs/>
        </w:rPr>
      </w:pPr>
    </w:p>
    <w:p w14:paraId="75B98809" w14:textId="77777777" w:rsidR="006B2EDC" w:rsidRDefault="006B2EDC" w:rsidP="006B2EDC">
      <w:pPr>
        <w:pStyle w:val="Default"/>
        <w:jc w:val="both"/>
        <w:rPr>
          <w:rFonts w:ascii="Garamond" w:hAnsi="Garamond"/>
          <w:bCs/>
        </w:rPr>
      </w:pPr>
      <w:r>
        <w:rPr>
          <w:rFonts w:ascii="Garamond" w:hAnsi="Garamond"/>
          <w:b/>
        </w:rPr>
        <w:t>§ 1º.</w:t>
      </w:r>
      <w:r>
        <w:rPr>
          <w:rFonts w:ascii="Garamond" w:hAnsi="Garamond"/>
          <w:bCs/>
        </w:rPr>
        <w:t xml:space="preserve"> As entidades de que trata o inciso I do caput do art. 2º deverão apresentar autodeclaração, da qual constarão informações sobre a interrupção de suas atividades e indicação dos cadastros em que estiverem inscritas acompanhados da sua homologação, quando for o caso.</w:t>
      </w:r>
    </w:p>
    <w:p w14:paraId="69A4B927" w14:textId="77777777" w:rsidR="006B2EDC" w:rsidRDefault="006B2EDC" w:rsidP="006B2EDC">
      <w:pPr>
        <w:pStyle w:val="Default"/>
        <w:jc w:val="both"/>
        <w:rPr>
          <w:rFonts w:ascii="Garamond" w:hAnsi="Garamond"/>
          <w:bCs/>
        </w:rPr>
      </w:pPr>
    </w:p>
    <w:p w14:paraId="6F5FFEFB" w14:textId="77777777" w:rsidR="006B2EDC" w:rsidRDefault="006B2EDC" w:rsidP="006B2EDC">
      <w:pPr>
        <w:pStyle w:val="Default"/>
        <w:jc w:val="both"/>
        <w:rPr>
          <w:rFonts w:ascii="Garamond" w:hAnsi="Garamond"/>
          <w:bCs/>
        </w:rPr>
      </w:pPr>
      <w:r>
        <w:rPr>
          <w:rFonts w:ascii="Garamond" w:hAnsi="Garamond"/>
          <w:b/>
        </w:rPr>
        <w:t>§ 2º.</w:t>
      </w:r>
      <w:r>
        <w:rPr>
          <w:rFonts w:ascii="Garamond" w:hAnsi="Garamond"/>
          <w:bCs/>
        </w:rPr>
        <w:t xml:space="preserve"> Enquanto perdurar o estado de calamidade pública reconhecido pelo Decreto Legislativo nº 6, de 20 de março de 2020, o município adotar</w:t>
      </w:r>
      <w:r>
        <w:rPr>
          <w:rFonts w:ascii="Garamond" w:hAnsi="Garamond"/>
          <w:bCs/>
          <w:color w:val="auto"/>
        </w:rPr>
        <w:t>á</w:t>
      </w:r>
      <w:r>
        <w:rPr>
          <w:rFonts w:ascii="Garamond" w:hAnsi="Garamond"/>
          <w:bCs/>
        </w:rPr>
        <w:t xml:space="preserve"> medidas que garantam inclusões e alterações nas inscrições ou nos cadastros, por meio de autodeclaração ou de apresentação de documentos, preferencialmente de modo não presencial, secetul@gmail.com.</w:t>
      </w:r>
    </w:p>
    <w:p w14:paraId="50C5E003" w14:textId="77777777" w:rsidR="006B2EDC" w:rsidRDefault="006B2EDC" w:rsidP="006B2EDC">
      <w:pPr>
        <w:pStyle w:val="Default"/>
        <w:jc w:val="both"/>
        <w:rPr>
          <w:rFonts w:ascii="Garamond" w:hAnsi="Garamond"/>
          <w:bCs/>
        </w:rPr>
      </w:pPr>
    </w:p>
    <w:p w14:paraId="522FC49B" w14:textId="1064032D" w:rsidR="006B2EDC" w:rsidRDefault="006B2EDC" w:rsidP="006B2EDC">
      <w:pPr>
        <w:pStyle w:val="Default"/>
        <w:jc w:val="both"/>
        <w:rPr>
          <w:rFonts w:ascii="Garamond" w:hAnsi="Garamond"/>
          <w:bCs/>
        </w:rPr>
      </w:pPr>
      <w:r>
        <w:rPr>
          <w:rFonts w:ascii="Garamond" w:hAnsi="Garamond"/>
          <w:b/>
        </w:rPr>
        <w:t>§ 3º.</w:t>
      </w:r>
      <w:r>
        <w:rPr>
          <w:rFonts w:ascii="Garamond" w:hAnsi="Garamond"/>
          <w:bCs/>
        </w:rPr>
        <w:t xml:space="preserve"> O subsídio mensal previsto no inciso I do caput do art. 2º somente será concedido para a gestão responsável pelo espaço cultural, vedado o recebimento cumulativo, mesmo que o beneficiário esteja inscrito em mais </w:t>
      </w:r>
      <w:proofErr w:type="gramStart"/>
      <w:r>
        <w:rPr>
          <w:rFonts w:ascii="Garamond" w:hAnsi="Garamond"/>
          <w:bCs/>
        </w:rPr>
        <w:t>de um cadastro ou seja</w:t>
      </w:r>
      <w:proofErr w:type="gramEnd"/>
      <w:r>
        <w:rPr>
          <w:rFonts w:ascii="Garamond" w:hAnsi="Garamond"/>
          <w:bCs/>
        </w:rPr>
        <w:t xml:space="preserve"> responsável por mais de um espaço cultural.</w:t>
      </w:r>
    </w:p>
    <w:p w14:paraId="0D964F45" w14:textId="77777777" w:rsidR="006B2EDC" w:rsidRDefault="006B2EDC" w:rsidP="006B2EDC">
      <w:pPr>
        <w:pStyle w:val="Default"/>
        <w:jc w:val="both"/>
        <w:rPr>
          <w:rFonts w:ascii="Garamond" w:hAnsi="Garamond"/>
          <w:bCs/>
        </w:rPr>
      </w:pPr>
    </w:p>
    <w:p w14:paraId="5A6BBF30" w14:textId="77777777" w:rsidR="006B2EDC" w:rsidRDefault="006B2EDC" w:rsidP="006B2EDC">
      <w:pPr>
        <w:pStyle w:val="Default"/>
        <w:jc w:val="both"/>
        <w:rPr>
          <w:rFonts w:ascii="Garamond" w:hAnsi="Garamond"/>
          <w:bCs/>
        </w:rPr>
      </w:pPr>
      <w:r>
        <w:rPr>
          <w:rFonts w:ascii="Garamond" w:hAnsi="Garamond"/>
          <w:b/>
        </w:rPr>
        <w:t>§ 4º.</w:t>
      </w:r>
      <w:r>
        <w:rPr>
          <w:rFonts w:ascii="Garamond" w:hAnsi="Garamond"/>
          <w:bCs/>
        </w:rPr>
        <w:t xml:space="preserve"> Após a retomada de suas atividades, as entidades de que trata o inciso I do caput do art. 2º ficam obrigadas a garantir como contrapartida a realização de atividades destinadas, prioritariamente, aos alunos de escolas públicas ou de atividades em espaços públicos de sua comunidade, de forma gratuita, em intervalos regulares, em cooperação e planejamento definido com o ente federativo responsável pela gestão pública cultural do local.</w:t>
      </w:r>
    </w:p>
    <w:p w14:paraId="72928C52" w14:textId="77777777" w:rsidR="006B2EDC" w:rsidRDefault="006B2EDC" w:rsidP="006B2EDC">
      <w:pPr>
        <w:pStyle w:val="Default"/>
        <w:jc w:val="both"/>
        <w:rPr>
          <w:rFonts w:ascii="Garamond" w:hAnsi="Garamond"/>
          <w:bCs/>
        </w:rPr>
      </w:pPr>
    </w:p>
    <w:p w14:paraId="7B1E179A" w14:textId="77777777" w:rsidR="006B2EDC" w:rsidRDefault="006B2EDC" w:rsidP="006B2EDC">
      <w:pPr>
        <w:pStyle w:val="Default"/>
        <w:jc w:val="both"/>
        <w:rPr>
          <w:rFonts w:ascii="Garamond" w:hAnsi="Garamond"/>
          <w:bCs/>
          <w:color w:val="auto"/>
        </w:rPr>
      </w:pPr>
      <w:r>
        <w:rPr>
          <w:rFonts w:ascii="Garamond" w:hAnsi="Garamond"/>
          <w:b/>
        </w:rPr>
        <w:lastRenderedPageBreak/>
        <w:t>§ 5º.</w:t>
      </w:r>
      <w:r>
        <w:rPr>
          <w:rFonts w:ascii="Garamond" w:hAnsi="Garamond"/>
          <w:bCs/>
        </w:rPr>
        <w:t xml:space="preserve"> Para fins de atendimento ao disposto no art. 9º da Lei nº 14.017, de 2020, os beneficiários do subsídio mensal previsto no inciso I do caput do art. 2º apresentarão ao responsável pela distribuição, juntamente à solicitação do benefício, proposta de atividade de contrapartida em bens ou serviços economicamente mensuráveis</w:t>
      </w:r>
      <w:r>
        <w:rPr>
          <w:rFonts w:ascii="Garamond" w:hAnsi="Garamond"/>
          <w:bCs/>
          <w:color w:val="auto"/>
        </w:rPr>
        <w:t>. E o prazo e condições para a realização desta condição da contrapartida deverá estar definida no edital e no contrato administrativo firmado com a entidade beneficiada.</w:t>
      </w:r>
    </w:p>
    <w:p w14:paraId="4C7C6BDA" w14:textId="77777777" w:rsidR="006B2EDC" w:rsidRDefault="006B2EDC" w:rsidP="006B2EDC">
      <w:pPr>
        <w:pStyle w:val="Default"/>
        <w:jc w:val="both"/>
        <w:rPr>
          <w:rFonts w:ascii="Garamond" w:hAnsi="Garamond"/>
          <w:bCs/>
        </w:rPr>
      </w:pPr>
    </w:p>
    <w:p w14:paraId="5C425C3E" w14:textId="77777777" w:rsidR="006B2EDC" w:rsidRDefault="006B2EDC" w:rsidP="006B2EDC">
      <w:pPr>
        <w:pStyle w:val="Default"/>
        <w:jc w:val="both"/>
        <w:rPr>
          <w:rFonts w:ascii="Garamond" w:hAnsi="Garamond"/>
          <w:bCs/>
        </w:rPr>
      </w:pPr>
      <w:r>
        <w:rPr>
          <w:rFonts w:ascii="Garamond" w:hAnsi="Garamond"/>
          <w:b/>
        </w:rPr>
        <w:t>§ 6º.</w:t>
      </w:r>
      <w:r>
        <w:rPr>
          <w:rFonts w:ascii="Garamond" w:hAnsi="Garamond"/>
          <w:bCs/>
        </w:rPr>
        <w:t xml:space="preserve"> Fica vedada a concessão do subsídio mensal previsto no inciso I do caput do art. 2º deste Decreto a espaços culturais criados pela administração pública de qualquer esfera ou vinculados a ela, bem como a espaços culturais vinculados a fundações, a institutos ou instituições criados ou mantidos por grupos de empresas, a teatros e casas de espetáculos de diversões com financiamento exclusivo de grupos empresariais e a espaços geridos pelos serviços sociais do Sistema S.</w:t>
      </w:r>
    </w:p>
    <w:p w14:paraId="78D98C63" w14:textId="77777777" w:rsidR="006B2EDC" w:rsidRDefault="006B2EDC" w:rsidP="006B2EDC">
      <w:pPr>
        <w:pStyle w:val="Default"/>
        <w:jc w:val="both"/>
        <w:rPr>
          <w:rFonts w:ascii="Garamond" w:hAnsi="Garamond"/>
          <w:bCs/>
        </w:rPr>
      </w:pPr>
    </w:p>
    <w:p w14:paraId="4CEBB850" w14:textId="77777777" w:rsidR="006B2EDC" w:rsidRDefault="006B2EDC" w:rsidP="006B2EDC">
      <w:pPr>
        <w:pStyle w:val="Default"/>
        <w:jc w:val="both"/>
        <w:rPr>
          <w:rFonts w:ascii="Garamond" w:hAnsi="Garamond"/>
          <w:bCs/>
        </w:rPr>
      </w:pPr>
      <w:r>
        <w:rPr>
          <w:rFonts w:ascii="Garamond" w:hAnsi="Garamond"/>
          <w:b/>
        </w:rPr>
        <w:t>Art. 5º.</w:t>
      </w:r>
      <w:r>
        <w:rPr>
          <w:rFonts w:ascii="Garamond" w:hAnsi="Garamond"/>
          <w:bCs/>
        </w:rPr>
        <w:t xml:space="preserve"> O beneficiário do subsídio mensal previsto no inciso I do </w:t>
      </w:r>
      <w:r>
        <w:rPr>
          <w:rFonts w:ascii="Garamond" w:hAnsi="Garamond"/>
          <w:bCs/>
          <w:i/>
        </w:rPr>
        <w:t>caput</w:t>
      </w:r>
      <w:r>
        <w:rPr>
          <w:rFonts w:ascii="Garamond" w:hAnsi="Garamond"/>
          <w:bCs/>
        </w:rPr>
        <w:t xml:space="preserve"> do art. 2º apresentará prestação de contas referente ao uso do benefício ao </w:t>
      </w:r>
      <w:r>
        <w:rPr>
          <w:rFonts w:ascii="Garamond" w:hAnsi="Garamond"/>
          <w:bCs/>
          <w:color w:val="auto"/>
        </w:rPr>
        <w:t>Município</w:t>
      </w:r>
      <w:r>
        <w:rPr>
          <w:rFonts w:ascii="Garamond" w:hAnsi="Garamond"/>
          <w:bCs/>
          <w:color w:val="FF0000"/>
        </w:rPr>
        <w:t xml:space="preserve"> </w:t>
      </w:r>
      <w:r>
        <w:rPr>
          <w:rFonts w:ascii="Garamond" w:hAnsi="Garamond"/>
          <w:bCs/>
        </w:rPr>
        <w:t>no prazo de cento e vinte dias após o recebimento da última parcela do subsídio mensal.</w:t>
      </w:r>
    </w:p>
    <w:p w14:paraId="0A0AA2C4" w14:textId="77777777" w:rsidR="006B2EDC" w:rsidRDefault="006B2EDC" w:rsidP="006B2EDC">
      <w:pPr>
        <w:pStyle w:val="Default"/>
        <w:jc w:val="both"/>
        <w:rPr>
          <w:rFonts w:ascii="Garamond" w:hAnsi="Garamond"/>
          <w:bCs/>
        </w:rPr>
      </w:pPr>
    </w:p>
    <w:p w14:paraId="5512FA8A" w14:textId="77777777" w:rsidR="006B2EDC" w:rsidRDefault="006B2EDC" w:rsidP="006B2EDC">
      <w:pPr>
        <w:pStyle w:val="Default"/>
        <w:jc w:val="both"/>
        <w:rPr>
          <w:rFonts w:ascii="Garamond" w:hAnsi="Garamond"/>
          <w:bCs/>
        </w:rPr>
      </w:pPr>
      <w:r>
        <w:rPr>
          <w:rFonts w:ascii="Garamond" w:hAnsi="Garamond"/>
          <w:b/>
        </w:rPr>
        <w:t>§ 1º.</w:t>
      </w:r>
      <w:r>
        <w:rPr>
          <w:rFonts w:ascii="Garamond" w:hAnsi="Garamond"/>
          <w:bCs/>
        </w:rPr>
        <w:t xml:space="preserve"> A prestação de contas de que trata este artigo deverá comprovar que o subsídio mensal recebido foi utilizado para gastos relativos à manutenção da atividade cultural do beneficiário.</w:t>
      </w:r>
    </w:p>
    <w:p w14:paraId="542268F5" w14:textId="77777777" w:rsidR="006B2EDC" w:rsidRDefault="006B2EDC" w:rsidP="006B2EDC">
      <w:pPr>
        <w:pStyle w:val="Default"/>
        <w:jc w:val="both"/>
        <w:rPr>
          <w:rFonts w:ascii="Garamond" w:hAnsi="Garamond"/>
          <w:bCs/>
        </w:rPr>
      </w:pPr>
    </w:p>
    <w:p w14:paraId="47215D43" w14:textId="77777777" w:rsidR="006B2EDC" w:rsidRDefault="006B2EDC" w:rsidP="006B2EDC">
      <w:pPr>
        <w:pStyle w:val="Default"/>
        <w:jc w:val="both"/>
        <w:rPr>
          <w:rFonts w:ascii="Garamond" w:hAnsi="Garamond"/>
          <w:bCs/>
        </w:rPr>
      </w:pPr>
      <w:r>
        <w:rPr>
          <w:rFonts w:ascii="Garamond" w:hAnsi="Garamond"/>
          <w:b/>
        </w:rPr>
        <w:t>§ 2º.</w:t>
      </w:r>
      <w:r>
        <w:rPr>
          <w:rFonts w:ascii="Garamond" w:hAnsi="Garamond"/>
          <w:bCs/>
        </w:rPr>
        <w:t xml:space="preserve"> Os gastos relativos à manutenção da atividade cultural do beneficiário poderão incluir despesas realizadas com:</w:t>
      </w:r>
    </w:p>
    <w:p w14:paraId="6603C082" w14:textId="77777777" w:rsidR="006B2EDC" w:rsidRDefault="006B2EDC" w:rsidP="006B2EDC">
      <w:pPr>
        <w:pStyle w:val="Default"/>
        <w:ind w:firstLine="1134"/>
        <w:jc w:val="both"/>
        <w:rPr>
          <w:rFonts w:ascii="Garamond" w:hAnsi="Garamond"/>
          <w:bCs/>
        </w:rPr>
      </w:pPr>
    </w:p>
    <w:p w14:paraId="38FD2E04" w14:textId="77777777" w:rsidR="006B2EDC" w:rsidRDefault="006B2EDC" w:rsidP="006B2EDC">
      <w:pPr>
        <w:pStyle w:val="Default"/>
        <w:jc w:val="both"/>
        <w:rPr>
          <w:rFonts w:ascii="Garamond" w:hAnsi="Garamond"/>
          <w:bCs/>
        </w:rPr>
      </w:pPr>
      <w:r>
        <w:rPr>
          <w:rFonts w:ascii="Garamond" w:hAnsi="Garamond"/>
          <w:b/>
        </w:rPr>
        <w:t>I -</w:t>
      </w:r>
      <w:r>
        <w:rPr>
          <w:rFonts w:ascii="Garamond" w:hAnsi="Garamond"/>
          <w:bCs/>
        </w:rPr>
        <w:t xml:space="preserve"> Internet;</w:t>
      </w:r>
    </w:p>
    <w:p w14:paraId="6B5E61CF" w14:textId="77777777" w:rsidR="006B2EDC" w:rsidRDefault="006B2EDC" w:rsidP="006B2EDC">
      <w:pPr>
        <w:pStyle w:val="Default"/>
        <w:jc w:val="both"/>
        <w:rPr>
          <w:rFonts w:ascii="Garamond" w:hAnsi="Garamond"/>
          <w:bCs/>
        </w:rPr>
      </w:pPr>
      <w:r>
        <w:rPr>
          <w:rFonts w:ascii="Garamond" w:hAnsi="Garamond"/>
          <w:b/>
        </w:rPr>
        <w:t>II -</w:t>
      </w:r>
      <w:r>
        <w:rPr>
          <w:rFonts w:ascii="Garamond" w:hAnsi="Garamond"/>
          <w:bCs/>
        </w:rPr>
        <w:t xml:space="preserve"> Transporte;</w:t>
      </w:r>
    </w:p>
    <w:p w14:paraId="5C447E87" w14:textId="77777777" w:rsidR="006B2EDC" w:rsidRDefault="006B2EDC" w:rsidP="006B2EDC">
      <w:pPr>
        <w:pStyle w:val="Default"/>
        <w:jc w:val="both"/>
        <w:rPr>
          <w:rFonts w:ascii="Garamond" w:hAnsi="Garamond"/>
          <w:bCs/>
        </w:rPr>
      </w:pPr>
      <w:r>
        <w:rPr>
          <w:rFonts w:ascii="Garamond" w:hAnsi="Garamond"/>
          <w:b/>
        </w:rPr>
        <w:t>III -</w:t>
      </w:r>
      <w:r>
        <w:rPr>
          <w:rFonts w:ascii="Garamond" w:hAnsi="Garamond"/>
          <w:bCs/>
        </w:rPr>
        <w:t xml:space="preserve"> Aluguel;</w:t>
      </w:r>
    </w:p>
    <w:p w14:paraId="63C1443B" w14:textId="77777777" w:rsidR="006B2EDC" w:rsidRDefault="006B2EDC" w:rsidP="006B2EDC">
      <w:pPr>
        <w:pStyle w:val="Default"/>
        <w:jc w:val="both"/>
        <w:rPr>
          <w:rFonts w:ascii="Garamond" w:hAnsi="Garamond"/>
          <w:bCs/>
        </w:rPr>
      </w:pPr>
      <w:r>
        <w:rPr>
          <w:rFonts w:ascii="Garamond" w:hAnsi="Garamond"/>
          <w:b/>
        </w:rPr>
        <w:t>IV -</w:t>
      </w:r>
      <w:r>
        <w:rPr>
          <w:rFonts w:ascii="Garamond" w:hAnsi="Garamond"/>
          <w:bCs/>
        </w:rPr>
        <w:t xml:space="preserve"> Telefone;</w:t>
      </w:r>
    </w:p>
    <w:p w14:paraId="685C1E29" w14:textId="77777777" w:rsidR="006B2EDC" w:rsidRDefault="006B2EDC" w:rsidP="006B2EDC">
      <w:pPr>
        <w:pStyle w:val="Default"/>
        <w:jc w:val="both"/>
        <w:rPr>
          <w:rFonts w:ascii="Garamond" w:hAnsi="Garamond"/>
          <w:bCs/>
        </w:rPr>
      </w:pPr>
      <w:r>
        <w:rPr>
          <w:rFonts w:ascii="Garamond" w:hAnsi="Garamond"/>
          <w:b/>
        </w:rPr>
        <w:t>V -</w:t>
      </w:r>
      <w:r>
        <w:rPr>
          <w:rFonts w:ascii="Garamond" w:hAnsi="Garamond"/>
          <w:bCs/>
        </w:rPr>
        <w:t xml:space="preserve"> Consumo de água e luz; e</w:t>
      </w:r>
    </w:p>
    <w:p w14:paraId="19679903" w14:textId="77777777" w:rsidR="006B2EDC" w:rsidRDefault="006B2EDC" w:rsidP="006B2EDC">
      <w:pPr>
        <w:pStyle w:val="Default"/>
        <w:jc w:val="both"/>
        <w:rPr>
          <w:rFonts w:ascii="Garamond" w:hAnsi="Garamond"/>
          <w:bCs/>
        </w:rPr>
      </w:pPr>
      <w:r>
        <w:rPr>
          <w:rFonts w:ascii="Garamond" w:hAnsi="Garamond"/>
          <w:b/>
        </w:rPr>
        <w:t>VI -</w:t>
      </w:r>
      <w:r>
        <w:rPr>
          <w:rFonts w:ascii="Garamond" w:hAnsi="Garamond"/>
          <w:bCs/>
        </w:rPr>
        <w:t xml:space="preserve"> Outras despesas relativas à manutenção da atividade cultural do beneficiário.</w:t>
      </w:r>
    </w:p>
    <w:p w14:paraId="3665C562" w14:textId="77777777" w:rsidR="006B2EDC" w:rsidRDefault="006B2EDC" w:rsidP="006B2EDC">
      <w:pPr>
        <w:pStyle w:val="Default"/>
        <w:jc w:val="both"/>
        <w:rPr>
          <w:rFonts w:ascii="Garamond" w:hAnsi="Garamond"/>
          <w:bCs/>
        </w:rPr>
      </w:pPr>
    </w:p>
    <w:p w14:paraId="79520A67" w14:textId="77777777" w:rsidR="006B2EDC" w:rsidRDefault="006B2EDC" w:rsidP="006B2EDC">
      <w:pPr>
        <w:pStyle w:val="Default"/>
        <w:jc w:val="both"/>
        <w:rPr>
          <w:rFonts w:ascii="Garamond" w:hAnsi="Garamond"/>
          <w:bCs/>
        </w:rPr>
      </w:pPr>
      <w:r>
        <w:rPr>
          <w:rFonts w:ascii="Garamond" w:hAnsi="Garamond"/>
          <w:b/>
        </w:rPr>
        <w:t>§ 3º.</w:t>
      </w:r>
      <w:r>
        <w:rPr>
          <w:rFonts w:ascii="Garamond" w:hAnsi="Garamond"/>
          <w:bCs/>
        </w:rPr>
        <w:t xml:space="preserve"> O</w:t>
      </w:r>
      <w:r>
        <w:rPr>
          <w:rFonts w:ascii="Garamond" w:hAnsi="Garamond"/>
          <w:bCs/>
          <w:color w:val="auto"/>
        </w:rPr>
        <w:t xml:space="preserve"> Município discrimin</w:t>
      </w:r>
      <w:r>
        <w:rPr>
          <w:rFonts w:ascii="Garamond" w:hAnsi="Garamond"/>
          <w:bCs/>
        </w:rPr>
        <w:t xml:space="preserve">ará no relatório de gestão final a que se refere o Anexo I os subsídios concedidos, de modo a especificar se as prestações de contas referidas no </w:t>
      </w:r>
      <w:r>
        <w:rPr>
          <w:rFonts w:ascii="Garamond" w:hAnsi="Garamond"/>
          <w:bCs/>
          <w:i/>
        </w:rPr>
        <w:t>caput</w:t>
      </w:r>
      <w:r>
        <w:rPr>
          <w:rFonts w:ascii="Garamond" w:hAnsi="Garamond"/>
          <w:bCs/>
        </w:rPr>
        <w:t xml:space="preserve"> deste artigo foram aprovadas ou não e quais as providências adotadas em caso de terem sido rejeitadas.</w:t>
      </w:r>
    </w:p>
    <w:p w14:paraId="5B660E66" w14:textId="77777777" w:rsidR="006B2EDC" w:rsidRDefault="006B2EDC" w:rsidP="006B2EDC">
      <w:pPr>
        <w:pStyle w:val="Default"/>
        <w:jc w:val="both"/>
        <w:rPr>
          <w:rFonts w:ascii="Garamond" w:hAnsi="Garamond"/>
          <w:bCs/>
        </w:rPr>
      </w:pPr>
    </w:p>
    <w:p w14:paraId="754337FE" w14:textId="77777777" w:rsidR="006B2EDC" w:rsidRDefault="006B2EDC" w:rsidP="006B2EDC">
      <w:pPr>
        <w:pStyle w:val="Default"/>
        <w:jc w:val="both"/>
        <w:rPr>
          <w:rFonts w:ascii="Garamond" w:hAnsi="Garamond"/>
          <w:bCs/>
        </w:rPr>
      </w:pPr>
      <w:r>
        <w:rPr>
          <w:rFonts w:ascii="Garamond" w:hAnsi="Garamond"/>
          <w:b/>
        </w:rPr>
        <w:t>Art. 6º.</w:t>
      </w:r>
      <w:r>
        <w:rPr>
          <w:rFonts w:ascii="Garamond" w:hAnsi="Garamond"/>
          <w:bCs/>
        </w:rPr>
        <w:t xml:space="preserve"> Para fins do disposto neste Decreto, consideram-se espaços culturais aqueles organizados e mantidos por pessoas, organizações da sociedade civil, empresas culturais, organizações culturais comunitárias, cooperativas com finalidade cultural e instituições culturais, com ou sem fins lucrativos, que sejam dedicados a realizar atividades artísticas e culturais, tais como:</w:t>
      </w:r>
    </w:p>
    <w:p w14:paraId="2EC7FC6B" w14:textId="77777777" w:rsidR="006B2EDC" w:rsidRDefault="006B2EDC" w:rsidP="006B2EDC">
      <w:pPr>
        <w:pStyle w:val="Default"/>
        <w:jc w:val="both"/>
        <w:rPr>
          <w:rFonts w:ascii="Garamond" w:hAnsi="Garamond"/>
          <w:bCs/>
        </w:rPr>
      </w:pPr>
    </w:p>
    <w:p w14:paraId="492B5323" w14:textId="77777777" w:rsidR="006B2EDC" w:rsidRDefault="006B2EDC" w:rsidP="006B2EDC">
      <w:pPr>
        <w:pStyle w:val="Default"/>
        <w:jc w:val="both"/>
        <w:rPr>
          <w:rFonts w:ascii="Garamond" w:hAnsi="Garamond"/>
          <w:bCs/>
        </w:rPr>
      </w:pPr>
      <w:r>
        <w:rPr>
          <w:rFonts w:ascii="Garamond" w:hAnsi="Garamond"/>
          <w:b/>
        </w:rPr>
        <w:t>I -</w:t>
      </w:r>
      <w:r>
        <w:rPr>
          <w:rFonts w:ascii="Garamond" w:hAnsi="Garamond"/>
          <w:bCs/>
        </w:rPr>
        <w:t xml:space="preserve"> Pontos e pontões de cultura;</w:t>
      </w:r>
    </w:p>
    <w:p w14:paraId="7C3CA001" w14:textId="77777777" w:rsidR="006B2EDC" w:rsidRDefault="006B2EDC" w:rsidP="006B2EDC">
      <w:pPr>
        <w:pStyle w:val="Default"/>
        <w:jc w:val="both"/>
        <w:rPr>
          <w:rFonts w:ascii="Garamond" w:hAnsi="Garamond"/>
          <w:bCs/>
        </w:rPr>
      </w:pPr>
      <w:r>
        <w:rPr>
          <w:rFonts w:ascii="Garamond" w:hAnsi="Garamond"/>
          <w:b/>
        </w:rPr>
        <w:t>II -</w:t>
      </w:r>
      <w:r>
        <w:rPr>
          <w:rFonts w:ascii="Garamond" w:hAnsi="Garamond"/>
          <w:bCs/>
        </w:rPr>
        <w:t xml:space="preserve"> Teatros independentes;</w:t>
      </w:r>
    </w:p>
    <w:p w14:paraId="3CD34A8A" w14:textId="77777777" w:rsidR="006B2EDC" w:rsidRDefault="006B2EDC" w:rsidP="006B2EDC">
      <w:pPr>
        <w:pStyle w:val="Default"/>
        <w:jc w:val="both"/>
        <w:rPr>
          <w:rFonts w:ascii="Garamond" w:hAnsi="Garamond"/>
          <w:bCs/>
        </w:rPr>
      </w:pPr>
      <w:r>
        <w:rPr>
          <w:rFonts w:ascii="Garamond" w:hAnsi="Garamond"/>
          <w:b/>
        </w:rPr>
        <w:t>III -</w:t>
      </w:r>
      <w:r>
        <w:rPr>
          <w:rFonts w:ascii="Garamond" w:hAnsi="Garamond"/>
          <w:bCs/>
        </w:rPr>
        <w:t xml:space="preserve"> Escolas de música, de capoeira e de artes e estúdios, companhias e escolas de dança;</w:t>
      </w:r>
    </w:p>
    <w:p w14:paraId="6292EDED" w14:textId="77777777" w:rsidR="006B2EDC" w:rsidRDefault="006B2EDC" w:rsidP="006B2EDC">
      <w:pPr>
        <w:pStyle w:val="Default"/>
        <w:jc w:val="both"/>
        <w:rPr>
          <w:rFonts w:ascii="Garamond" w:hAnsi="Garamond"/>
          <w:bCs/>
        </w:rPr>
      </w:pPr>
      <w:r>
        <w:rPr>
          <w:rFonts w:ascii="Garamond" w:hAnsi="Garamond"/>
          <w:b/>
        </w:rPr>
        <w:t>IV -</w:t>
      </w:r>
      <w:r>
        <w:rPr>
          <w:rFonts w:ascii="Garamond" w:hAnsi="Garamond"/>
          <w:bCs/>
        </w:rPr>
        <w:t xml:space="preserve"> Circos;</w:t>
      </w:r>
    </w:p>
    <w:p w14:paraId="5C21D8A2" w14:textId="77777777" w:rsidR="006B2EDC" w:rsidRDefault="006B2EDC" w:rsidP="006B2EDC">
      <w:pPr>
        <w:pStyle w:val="Default"/>
        <w:jc w:val="both"/>
        <w:rPr>
          <w:rFonts w:ascii="Garamond" w:hAnsi="Garamond"/>
          <w:bCs/>
        </w:rPr>
      </w:pPr>
      <w:r>
        <w:rPr>
          <w:rFonts w:ascii="Garamond" w:hAnsi="Garamond"/>
          <w:b/>
        </w:rPr>
        <w:t>V -</w:t>
      </w:r>
      <w:r>
        <w:rPr>
          <w:rFonts w:ascii="Garamond" w:hAnsi="Garamond"/>
          <w:bCs/>
        </w:rPr>
        <w:t xml:space="preserve"> Cineclubes;</w:t>
      </w:r>
    </w:p>
    <w:p w14:paraId="766B8497" w14:textId="77777777" w:rsidR="006B2EDC" w:rsidRDefault="006B2EDC" w:rsidP="006B2EDC">
      <w:pPr>
        <w:pStyle w:val="Default"/>
        <w:jc w:val="both"/>
        <w:rPr>
          <w:rFonts w:ascii="Garamond" w:hAnsi="Garamond"/>
          <w:bCs/>
        </w:rPr>
      </w:pPr>
      <w:r>
        <w:rPr>
          <w:rFonts w:ascii="Garamond" w:hAnsi="Garamond"/>
          <w:b/>
        </w:rPr>
        <w:t>VI -</w:t>
      </w:r>
      <w:r>
        <w:rPr>
          <w:rFonts w:ascii="Garamond" w:hAnsi="Garamond"/>
          <w:bCs/>
        </w:rPr>
        <w:t xml:space="preserve"> Centros culturais, casas de cultura e centros de tradição regionais;</w:t>
      </w:r>
    </w:p>
    <w:p w14:paraId="151910FA" w14:textId="77777777" w:rsidR="006B2EDC" w:rsidRDefault="006B2EDC" w:rsidP="006B2EDC">
      <w:pPr>
        <w:pStyle w:val="Default"/>
        <w:jc w:val="both"/>
        <w:rPr>
          <w:rFonts w:ascii="Garamond" w:hAnsi="Garamond"/>
          <w:bCs/>
        </w:rPr>
      </w:pPr>
      <w:r>
        <w:rPr>
          <w:rFonts w:ascii="Garamond" w:hAnsi="Garamond"/>
          <w:b/>
        </w:rPr>
        <w:t>VII -</w:t>
      </w:r>
      <w:r>
        <w:rPr>
          <w:rFonts w:ascii="Garamond" w:hAnsi="Garamond"/>
          <w:bCs/>
        </w:rPr>
        <w:t xml:space="preserve"> Museus comunitários, centros de memória e patrimônio;</w:t>
      </w:r>
    </w:p>
    <w:p w14:paraId="7446B686" w14:textId="77777777" w:rsidR="006B2EDC" w:rsidRDefault="006B2EDC" w:rsidP="006B2EDC">
      <w:pPr>
        <w:pStyle w:val="Default"/>
        <w:jc w:val="both"/>
        <w:rPr>
          <w:rFonts w:ascii="Garamond" w:hAnsi="Garamond"/>
          <w:bCs/>
        </w:rPr>
      </w:pPr>
      <w:r>
        <w:rPr>
          <w:rFonts w:ascii="Garamond" w:hAnsi="Garamond"/>
          <w:b/>
        </w:rPr>
        <w:t>VIII -</w:t>
      </w:r>
      <w:r>
        <w:rPr>
          <w:rFonts w:ascii="Garamond" w:hAnsi="Garamond"/>
          <w:bCs/>
        </w:rPr>
        <w:t xml:space="preserve"> Bibliotecas comunitárias;</w:t>
      </w:r>
    </w:p>
    <w:p w14:paraId="26227B7A" w14:textId="77777777" w:rsidR="006B2EDC" w:rsidRDefault="006B2EDC" w:rsidP="006B2EDC">
      <w:pPr>
        <w:pStyle w:val="Default"/>
        <w:jc w:val="both"/>
        <w:rPr>
          <w:rFonts w:ascii="Garamond" w:hAnsi="Garamond"/>
          <w:bCs/>
        </w:rPr>
      </w:pPr>
      <w:r>
        <w:rPr>
          <w:rFonts w:ascii="Garamond" w:hAnsi="Garamond"/>
          <w:b/>
        </w:rPr>
        <w:t>IX -</w:t>
      </w:r>
      <w:r>
        <w:rPr>
          <w:rFonts w:ascii="Garamond" w:hAnsi="Garamond"/>
          <w:bCs/>
        </w:rPr>
        <w:t xml:space="preserve"> Espaços culturais em comunidades indígenas;</w:t>
      </w:r>
    </w:p>
    <w:p w14:paraId="3A22BF30" w14:textId="77777777" w:rsidR="006B2EDC" w:rsidRDefault="006B2EDC" w:rsidP="006B2EDC">
      <w:pPr>
        <w:pStyle w:val="Default"/>
        <w:jc w:val="both"/>
        <w:rPr>
          <w:rFonts w:ascii="Garamond" w:hAnsi="Garamond"/>
          <w:bCs/>
        </w:rPr>
      </w:pPr>
      <w:r>
        <w:rPr>
          <w:rFonts w:ascii="Garamond" w:hAnsi="Garamond"/>
          <w:b/>
        </w:rPr>
        <w:t>X -</w:t>
      </w:r>
      <w:r>
        <w:rPr>
          <w:rFonts w:ascii="Garamond" w:hAnsi="Garamond"/>
          <w:bCs/>
        </w:rPr>
        <w:t xml:space="preserve"> Centros artísticos e culturais afro-brasileiros;</w:t>
      </w:r>
    </w:p>
    <w:p w14:paraId="357AEBED" w14:textId="77777777" w:rsidR="006B2EDC" w:rsidRDefault="006B2EDC" w:rsidP="006B2EDC">
      <w:pPr>
        <w:pStyle w:val="Default"/>
        <w:jc w:val="both"/>
        <w:rPr>
          <w:rFonts w:ascii="Garamond" w:hAnsi="Garamond"/>
          <w:bCs/>
        </w:rPr>
      </w:pPr>
      <w:r>
        <w:rPr>
          <w:rFonts w:ascii="Garamond" w:hAnsi="Garamond"/>
          <w:b/>
        </w:rPr>
        <w:t>XI -</w:t>
      </w:r>
      <w:r>
        <w:rPr>
          <w:rFonts w:ascii="Garamond" w:hAnsi="Garamond"/>
          <w:bCs/>
        </w:rPr>
        <w:t xml:space="preserve"> Comunidades quilombolas;</w:t>
      </w:r>
    </w:p>
    <w:p w14:paraId="47B9BB10" w14:textId="77777777" w:rsidR="006B2EDC" w:rsidRDefault="006B2EDC" w:rsidP="006B2EDC">
      <w:pPr>
        <w:pStyle w:val="Default"/>
        <w:jc w:val="both"/>
        <w:rPr>
          <w:rFonts w:ascii="Garamond" w:hAnsi="Garamond"/>
          <w:bCs/>
        </w:rPr>
      </w:pPr>
    </w:p>
    <w:p w14:paraId="3B4A3818" w14:textId="77777777" w:rsidR="006B2EDC" w:rsidRDefault="006B2EDC" w:rsidP="006B2EDC">
      <w:pPr>
        <w:pStyle w:val="Default"/>
        <w:jc w:val="both"/>
        <w:rPr>
          <w:rFonts w:ascii="Garamond" w:hAnsi="Garamond"/>
          <w:bCs/>
        </w:rPr>
      </w:pPr>
      <w:r>
        <w:rPr>
          <w:rFonts w:ascii="Garamond" w:hAnsi="Garamond"/>
          <w:b/>
        </w:rPr>
        <w:lastRenderedPageBreak/>
        <w:t>XII -</w:t>
      </w:r>
      <w:r>
        <w:rPr>
          <w:rFonts w:ascii="Garamond" w:hAnsi="Garamond"/>
          <w:bCs/>
        </w:rPr>
        <w:t xml:space="preserve"> Espaços de povos e comunidades tradicionais;</w:t>
      </w:r>
    </w:p>
    <w:p w14:paraId="7FC59737" w14:textId="77777777" w:rsidR="006B2EDC" w:rsidRDefault="006B2EDC" w:rsidP="006B2EDC">
      <w:pPr>
        <w:pStyle w:val="Default"/>
        <w:jc w:val="both"/>
        <w:rPr>
          <w:rFonts w:ascii="Garamond" w:hAnsi="Garamond"/>
          <w:bCs/>
        </w:rPr>
      </w:pPr>
      <w:r>
        <w:rPr>
          <w:rFonts w:ascii="Garamond" w:hAnsi="Garamond"/>
          <w:b/>
        </w:rPr>
        <w:t>XIII -</w:t>
      </w:r>
      <w:r>
        <w:rPr>
          <w:rFonts w:ascii="Garamond" w:hAnsi="Garamond"/>
          <w:bCs/>
        </w:rPr>
        <w:t xml:space="preserve"> Festas populares, inclusive o carnaval e o São João, e outras de caráter regional;</w:t>
      </w:r>
    </w:p>
    <w:p w14:paraId="743396AE" w14:textId="77777777" w:rsidR="006B2EDC" w:rsidRDefault="006B2EDC" w:rsidP="006B2EDC">
      <w:pPr>
        <w:pStyle w:val="Default"/>
        <w:jc w:val="both"/>
        <w:rPr>
          <w:rFonts w:ascii="Garamond" w:hAnsi="Garamond"/>
          <w:bCs/>
        </w:rPr>
      </w:pPr>
      <w:r>
        <w:rPr>
          <w:rFonts w:ascii="Garamond" w:hAnsi="Garamond"/>
          <w:b/>
        </w:rPr>
        <w:t>XIV -</w:t>
      </w:r>
      <w:r>
        <w:rPr>
          <w:rFonts w:ascii="Garamond" w:hAnsi="Garamond"/>
          <w:bCs/>
        </w:rPr>
        <w:t xml:space="preserve"> Teatro de rua e demais expressões artísticas e culturais realizadas em espaços públicos;</w:t>
      </w:r>
    </w:p>
    <w:p w14:paraId="7D7FADF2" w14:textId="77777777" w:rsidR="006B2EDC" w:rsidRDefault="006B2EDC" w:rsidP="006B2EDC">
      <w:pPr>
        <w:pStyle w:val="Default"/>
        <w:jc w:val="both"/>
        <w:rPr>
          <w:rFonts w:ascii="Garamond" w:hAnsi="Garamond"/>
          <w:bCs/>
        </w:rPr>
      </w:pPr>
      <w:r>
        <w:rPr>
          <w:rFonts w:ascii="Garamond" w:hAnsi="Garamond"/>
          <w:b/>
        </w:rPr>
        <w:t>XV -</w:t>
      </w:r>
      <w:r>
        <w:rPr>
          <w:rFonts w:ascii="Garamond" w:hAnsi="Garamond"/>
          <w:bCs/>
        </w:rPr>
        <w:t xml:space="preserve"> Livrarias, editoras e sebos;</w:t>
      </w:r>
    </w:p>
    <w:p w14:paraId="27A88072" w14:textId="77777777" w:rsidR="006B2EDC" w:rsidRDefault="006B2EDC" w:rsidP="006B2EDC">
      <w:pPr>
        <w:pStyle w:val="Default"/>
        <w:jc w:val="both"/>
        <w:rPr>
          <w:rFonts w:ascii="Garamond" w:hAnsi="Garamond"/>
          <w:bCs/>
        </w:rPr>
      </w:pPr>
      <w:r>
        <w:rPr>
          <w:rFonts w:ascii="Garamond" w:hAnsi="Garamond"/>
          <w:b/>
        </w:rPr>
        <w:t>XVI -</w:t>
      </w:r>
      <w:r>
        <w:rPr>
          <w:rFonts w:ascii="Garamond" w:hAnsi="Garamond"/>
          <w:bCs/>
        </w:rPr>
        <w:t xml:space="preserve"> Empresas de diversão e produção de espetáculos;</w:t>
      </w:r>
    </w:p>
    <w:p w14:paraId="6CC4AA3F" w14:textId="77777777" w:rsidR="006B2EDC" w:rsidRDefault="006B2EDC" w:rsidP="006B2EDC">
      <w:pPr>
        <w:pStyle w:val="Default"/>
        <w:jc w:val="both"/>
        <w:rPr>
          <w:rFonts w:ascii="Garamond" w:hAnsi="Garamond"/>
          <w:bCs/>
        </w:rPr>
      </w:pPr>
      <w:r>
        <w:rPr>
          <w:rFonts w:ascii="Garamond" w:hAnsi="Garamond"/>
          <w:b/>
        </w:rPr>
        <w:t>XVII -</w:t>
      </w:r>
      <w:r>
        <w:rPr>
          <w:rFonts w:ascii="Garamond" w:hAnsi="Garamond"/>
          <w:bCs/>
        </w:rPr>
        <w:t xml:space="preserve"> Estúdios de fotografia;</w:t>
      </w:r>
    </w:p>
    <w:p w14:paraId="30346137" w14:textId="77777777" w:rsidR="006B2EDC" w:rsidRDefault="006B2EDC" w:rsidP="006B2EDC">
      <w:pPr>
        <w:pStyle w:val="Default"/>
        <w:jc w:val="both"/>
        <w:rPr>
          <w:rFonts w:ascii="Garamond" w:hAnsi="Garamond"/>
          <w:bCs/>
        </w:rPr>
      </w:pPr>
      <w:r>
        <w:rPr>
          <w:rFonts w:ascii="Garamond" w:hAnsi="Garamond"/>
          <w:b/>
        </w:rPr>
        <w:t>XVIII -</w:t>
      </w:r>
      <w:r>
        <w:rPr>
          <w:rFonts w:ascii="Garamond" w:hAnsi="Garamond"/>
          <w:bCs/>
        </w:rPr>
        <w:t xml:space="preserve"> Produtoras de cinema e audiovisual;</w:t>
      </w:r>
    </w:p>
    <w:p w14:paraId="76F9EE16" w14:textId="77777777" w:rsidR="006B2EDC" w:rsidRDefault="006B2EDC" w:rsidP="006B2EDC">
      <w:pPr>
        <w:pStyle w:val="Default"/>
        <w:jc w:val="both"/>
        <w:rPr>
          <w:rFonts w:ascii="Garamond" w:hAnsi="Garamond"/>
          <w:bCs/>
        </w:rPr>
      </w:pPr>
      <w:r>
        <w:rPr>
          <w:rFonts w:ascii="Garamond" w:hAnsi="Garamond"/>
          <w:b/>
        </w:rPr>
        <w:t>XIX -</w:t>
      </w:r>
      <w:r>
        <w:rPr>
          <w:rFonts w:ascii="Garamond" w:hAnsi="Garamond"/>
          <w:bCs/>
        </w:rPr>
        <w:t xml:space="preserve"> Ateliês de pintura, moda, design e artesanato;</w:t>
      </w:r>
    </w:p>
    <w:p w14:paraId="5CC6A37F" w14:textId="77777777" w:rsidR="006B2EDC" w:rsidRDefault="006B2EDC" w:rsidP="006B2EDC">
      <w:pPr>
        <w:pStyle w:val="Default"/>
        <w:jc w:val="both"/>
        <w:rPr>
          <w:rFonts w:ascii="Garamond" w:hAnsi="Garamond"/>
          <w:bCs/>
        </w:rPr>
      </w:pPr>
      <w:r>
        <w:rPr>
          <w:rFonts w:ascii="Garamond" w:hAnsi="Garamond"/>
          <w:b/>
        </w:rPr>
        <w:t>XX -</w:t>
      </w:r>
      <w:r>
        <w:rPr>
          <w:rFonts w:ascii="Garamond" w:hAnsi="Garamond"/>
          <w:bCs/>
        </w:rPr>
        <w:t xml:space="preserve"> Galerias de arte e de fotografias;</w:t>
      </w:r>
    </w:p>
    <w:p w14:paraId="50A75062" w14:textId="77777777" w:rsidR="006B2EDC" w:rsidRDefault="006B2EDC" w:rsidP="006B2EDC">
      <w:pPr>
        <w:pStyle w:val="Default"/>
        <w:jc w:val="both"/>
        <w:rPr>
          <w:rFonts w:ascii="Garamond" w:hAnsi="Garamond"/>
          <w:bCs/>
        </w:rPr>
      </w:pPr>
      <w:r>
        <w:rPr>
          <w:rFonts w:ascii="Garamond" w:hAnsi="Garamond"/>
          <w:b/>
        </w:rPr>
        <w:t>XXI -</w:t>
      </w:r>
      <w:r>
        <w:rPr>
          <w:rFonts w:ascii="Garamond" w:hAnsi="Garamond"/>
          <w:bCs/>
        </w:rPr>
        <w:t xml:space="preserve"> Feiras de arte e de artesanato;</w:t>
      </w:r>
    </w:p>
    <w:p w14:paraId="140A93EA" w14:textId="77777777" w:rsidR="006B2EDC" w:rsidRDefault="006B2EDC" w:rsidP="006B2EDC">
      <w:pPr>
        <w:pStyle w:val="Default"/>
        <w:jc w:val="both"/>
        <w:rPr>
          <w:rFonts w:ascii="Garamond" w:hAnsi="Garamond"/>
          <w:bCs/>
        </w:rPr>
      </w:pPr>
      <w:r>
        <w:rPr>
          <w:rFonts w:ascii="Garamond" w:hAnsi="Garamond"/>
          <w:b/>
        </w:rPr>
        <w:t>XXII -</w:t>
      </w:r>
      <w:r>
        <w:rPr>
          <w:rFonts w:ascii="Garamond" w:hAnsi="Garamond"/>
          <w:bCs/>
        </w:rPr>
        <w:t xml:space="preserve"> Espaços de apresentação musical;</w:t>
      </w:r>
    </w:p>
    <w:p w14:paraId="4D2EE5A5" w14:textId="77777777" w:rsidR="006B2EDC" w:rsidRDefault="006B2EDC" w:rsidP="006B2EDC">
      <w:pPr>
        <w:pStyle w:val="Default"/>
        <w:jc w:val="both"/>
        <w:rPr>
          <w:rFonts w:ascii="Garamond" w:hAnsi="Garamond"/>
          <w:bCs/>
        </w:rPr>
      </w:pPr>
      <w:r>
        <w:rPr>
          <w:rFonts w:ascii="Garamond" w:hAnsi="Garamond"/>
          <w:b/>
        </w:rPr>
        <w:t>XXIII -</w:t>
      </w:r>
      <w:r>
        <w:rPr>
          <w:rFonts w:ascii="Garamond" w:hAnsi="Garamond"/>
          <w:bCs/>
        </w:rPr>
        <w:t xml:space="preserve"> Espaços de literatura, poesia e literatura de cordel;</w:t>
      </w:r>
    </w:p>
    <w:p w14:paraId="218B670D" w14:textId="77777777" w:rsidR="006B2EDC" w:rsidRDefault="006B2EDC" w:rsidP="006B2EDC">
      <w:pPr>
        <w:pStyle w:val="Default"/>
        <w:jc w:val="both"/>
        <w:rPr>
          <w:rFonts w:ascii="Garamond" w:hAnsi="Garamond"/>
          <w:bCs/>
        </w:rPr>
      </w:pPr>
      <w:r>
        <w:rPr>
          <w:rFonts w:ascii="Garamond" w:hAnsi="Garamond"/>
          <w:b/>
        </w:rPr>
        <w:t>XXIV -</w:t>
      </w:r>
      <w:r>
        <w:rPr>
          <w:rFonts w:ascii="Garamond" w:hAnsi="Garamond"/>
          <w:bCs/>
        </w:rPr>
        <w:t xml:space="preserve"> Espaços e centros de cultura alimentar de base comunitária, agroecológica e de culturas originárias, tradicionais e populares; e</w:t>
      </w:r>
    </w:p>
    <w:p w14:paraId="3A49B801" w14:textId="77777777" w:rsidR="006B2EDC" w:rsidRDefault="006B2EDC" w:rsidP="006B2EDC">
      <w:pPr>
        <w:pStyle w:val="Default"/>
        <w:jc w:val="both"/>
        <w:rPr>
          <w:rFonts w:ascii="Garamond" w:hAnsi="Garamond"/>
          <w:bCs/>
        </w:rPr>
      </w:pPr>
      <w:r>
        <w:rPr>
          <w:rFonts w:ascii="Garamond" w:hAnsi="Garamond"/>
          <w:b/>
        </w:rPr>
        <w:t>XXV -</w:t>
      </w:r>
      <w:r>
        <w:rPr>
          <w:rFonts w:ascii="Garamond" w:hAnsi="Garamond"/>
          <w:bCs/>
        </w:rPr>
        <w:t xml:space="preserve"> Outros espaços e atividades artísticos e culturais validados nos cadastros a que se refere o art. 4º.</w:t>
      </w:r>
    </w:p>
    <w:p w14:paraId="3924DC66" w14:textId="77777777" w:rsidR="006B2EDC" w:rsidRDefault="006B2EDC" w:rsidP="006B2EDC">
      <w:pPr>
        <w:pStyle w:val="Default"/>
        <w:jc w:val="both"/>
        <w:rPr>
          <w:rFonts w:ascii="Garamond" w:hAnsi="Garamond"/>
          <w:bCs/>
        </w:rPr>
      </w:pPr>
    </w:p>
    <w:p w14:paraId="56280D52" w14:textId="77777777" w:rsidR="006B2EDC" w:rsidRDefault="006B2EDC" w:rsidP="006B2EDC">
      <w:pPr>
        <w:pStyle w:val="Default"/>
        <w:jc w:val="both"/>
        <w:rPr>
          <w:rFonts w:ascii="Garamond" w:hAnsi="Garamond"/>
          <w:bCs/>
        </w:rPr>
      </w:pPr>
      <w:r>
        <w:rPr>
          <w:rFonts w:ascii="Garamond" w:hAnsi="Garamond"/>
          <w:b/>
        </w:rPr>
        <w:t>Art. 7º.</w:t>
      </w:r>
      <w:r>
        <w:rPr>
          <w:rFonts w:ascii="Garamond" w:hAnsi="Garamond"/>
          <w:bCs/>
        </w:rPr>
        <w:t xml:space="preserve"> Fica facultado ao município elaborar e publicar editais, chamadas públicas ou outros instrumentos aplicáveis, de que trata o inciso II do caput do art. 2º, por intermédio de seus programas de apoio e financiamento à cultura já existentes ou por meio da criação de programas específicos.</w:t>
      </w:r>
    </w:p>
    <w:p w14:paraId="5993DB94" w14:textId="77777777" w:rsidR="006B2EDC" w:rsidRDefault="006B2EDC" w:rsidP="006B2EDC">
      <w:pPr>
        <w:pStyle w:val="Default"/>
        <w:jc w:val="both"/>
        <w:rPr>
          <w:rFonts w:ascii="Garamond" w:hAnsi="Garamond"/>
          <w:bCs/>
        </w:rPr>
      </w:pPr>
    </w:p>
    <w:p w14:paraId="185B9FF9" w14:textId="77777777" w:rsidR="006B2EDC" w:rsidRDefault="006B2EDC" w:rsidP="006B2EDC">
      <w:pPr>
        <w:pStyle w:val="Default"/>
        <w:jc w:val="both"/>
        <w:rPr>
          <w:rFonts w:ascii="Garamond" w:hAnsi="Garamond"/>
          <w:bCs/>
        </w:rPr>
      </w:pPr>
      <w:r>
        <w:rPr>
          <w:rFonts w:ascii="Garamond" w:hAnsi="Garamond"/>
          <w:b/>
        </w:rPr>
        <w:t>§ 1º.</w:t>
      </w:r>
      <w:r>
        <w:rPr>
          <w:rFonts w:ascii="Garamond" w:hAnsi="Garamond"/>
          <w:bCs/>
        </w:rPr>
        <w:t xml:space="preserve"> O município deverá evitar que os recursos aplicados se concentrem nos mesmos beneficiários, na mesma região geográfica ou em um número restrito de trabalhadores da cultura ou de instituições culturais.</w:t>
      </w:r>
    </w:p>
    <w:p w14:paraId="0E14D9D1" w14:textId="77777777" w:rsidR="006B2EDC" w:rsidRDefault="006B2EDC" w:rsidP="006B2EDC">
      <w:pPr>
        <w:pStyle w:val="Default"/>
        <w:jc w:val="both"/>
        <w:rPr>
          <w:rFonts w:ascii="Garamond" w:hAnsi="Garamond"/>
          <w:bCs/>
        </w:rPr>
      </w:pPr>
    </w:p>
    <w:p w14:paraId="50F4EFE8" w14:textId="77777777" w:rsidR="006B2EDC" w:rsidRDefault="006B2EDC" w:rsidP="006B2EDC">
      <w:pPr>
        <w:pStyle w:val="Default"/>
        <w:jc w:val="both"/>
        <w:rPr>
          <w:rFonts w:ascii="Garamond" w:hAnsi="Garamond"/>
          <w:bCs/>
        </w:rPr>
      </w:pPr>
      <w:r>
        <w:rPr>
          <w:rFonts w:ascii="Garamond" w:hAnsi="Garamond"/>
          <w:b/>
        </w:rPr>
        <w:t>§ 2º.</w:t>
      </w:r>
      <w:r>
        <w:rPr>
          <w:rFonts w:ascii="Garamond" w:hAnsi="Garamond"/>
          <w:bCs/>
        </w:rPr>
        <w:t xml:space="preserve"> O município deverá informar no relatório de gestão final a que se refere o Anexo I:</w:t>
      </w:r>
    </w:p>
    <w:p w14:paraId="5FA46DF9" w14:textId="77777777" w:rsidR="006B2EDC" w:rsidRDefault="006B2EDC" w:rsidP="006B2EDC">
      <w:pPr>
        <w:pStyle w:val="Default"/>
        <w:jc w:val="both"/>
        <w:rPr>
          <w:rFonts w:ascii="Garamond" w:hAnsi="Garamond"/>
          <w:bCs/>
        </w:rPr>
      </w:pPr>
    </w:p>
    <w:p w14:paraId="421BC95E" w14:textId="77777777" w:rsidR="006B2EDC" w:rsidRDefault="006B2EDC" w:rsidP="006B2EDC">
      <w:pPr>
        <w:pStyle w:val="Default"/>
        <w:jc w:val="both"/>
        <w:rPr>
          <w:rFonts w:ascii="Garamond" w:hAnsi="Garamond"/>
          <w:bCs/>
        </w:rPr>
      </w:pPr>
      <w:r>
        <w:rPr>
          <w:rFonts w:ascii="Garamond" w:hAnsi="Garamond"/>
          <w:b/>
        </w:rPr>
        <w:t>I -</w:t>
      </w:r>
      <w:r>
        <w:rPr>
          <w:rFonts w:ascii="Garamond" w:hAnsi="Garamond"/>
          <w:bCs/>
        </w:rPr>
        <w:t xml:space="preserve"> Os tipos de instrumentos realizados;</w:t>
      </w:r>
    </w:p>
    <w:p w14:paraId="52CB80B0" w14:textId="77777777" w:rsidR="006B2EDC" w:rsidRDefault="006B2EDC" w:rsidP="006B2EDC">
      <w:pPr>
        <w:pStyle w:val="Default"/>
        <w:jc w:val="both"/>
        <w:rPr>
          <w:rFonts w:ascii="Garamond" w:hAnsi="Garamond"/>
          <w:bCs/>
        </w:rPr>
      </w:pPr>
      <w:r>
        <w:rPr>
          <w:rFonts w:ascii="Garamond" w:hAnsi="Garamond"/>
          <w:b/>
        </w:rPr>
        <w:t>II -</w:t>
      </w:r>
      <w:r>
        <w:rPr>
          <w:rFonts w:ascii="Garamond" w:hAnsi="Garamond"/>
          <w:bCs/>
        </w:rPr>
        <w:t xml:space="preserve"> A identificação do instrumento;</w:t>
      </w:r>
    </w:p>
    <w:p w14:paraId="0CF678A3" w14:textId="77777777" w:rsidR="006B2EDC" w:rsidRDefault="006B2EDC" w:rsidP="006B2EDC">
      <w:pPr>
        <w:pStyle w:val="Default"/>
        <w:jc w:val="both"/>
        <w:rPr>
          <w:rFonts w:ascii="Garamond" w:hAnsi="Garamond"/>
          <w:bCs/>
        </w:rPr>
      </w:pPr>
      <w:r>
        <w:rPr>
          <w:rFonts w:ascii="Garamond" w:hAnsi="Garamond"/>
          <w:b/>
        </w:rPr>
        <w:t>III -</w:t>
      </w:r>
      <w:r>
        <w:rPr>
          <w:rFonts w:ascii="Garamond" w:hAnsi="Garamond"/>
          <w:bCs/>
        </w:rPr>
        <w:t xml:space="preserve"> O total dos valores repassados por meio do instrumento;</w:t>
      </w:r>
    </w:p>
    <w:p w14:paraId="2743A72E" w14:textId="77777777" w:rsidR="006B2EDC" w:rsidRDefault="006B2EDC" w:rsidP="006B2EDC">
      <w:pPr>
        <w:pStyle w:val="Default"/>
        <w:jc w:val="both"/>
        <w:rPr>
          <w:rFonts w:ascii="Garamond" w:hAnsi="Garamond"/>
          <w:bCs/>
        </w:rPr>
      </w:pPr>
      <w:r>
        <w:rPr>
          <w:rFonts w:ascii="Garamond" w:hAnsi="Garamond"/>
          <w:b/>
        </w:rPr>
        <w:t>IV -</w:t>
      </w:r>
      <w:r>
        <w:rPr>
          <w:rFonts w:ascii="Garamond" w:hAnsi="Garamond"/>
          <w:bCs/>
        </w:rPr>
        <w:t xml:space="preserve"> O quantitativo de beneficiários;</w:t>
      </w:r>
    </w:p>
    <w:p w14:paraId="3D196CD9" w14:textId="77777777" w:rsidR="006B2EDC" w:rsidRDefault="006B2EDC" w:rsidP="006B2EDC">
      <w:pPr>
        <w:pStyle w:val="Default"/>
        <w:jc w:val="both"/>
        <w:rPr>
          <w:rFonts w:ascii="Garamond" w:hAnsi="Garamond"/>
          <w:bCs/>
        </w:rPr>
      </w:pPr>
      <w:r>
        <w:rPr>
          <w:rFonts w:ascii="Garamond" w:hAnsi="Garamond"/>
          <w:b/>
        </w:rPr>
        <w:t>V -</w:t>
      </w:r>
      <w:r>
        <w:rPr>
          <w:rFonts w:ascii="Garamond" w:hAnsi="Garamond"/>
          <w:bCs/>
        </w:rPr>
        <w:t xml:space="preserve"> A publicação no Diário Oficial do Município dos resultados dos certames;</w:t>
      </w:r>
    </w:p>
    <w:p w14:paraId="04C6B283" w14:textId="77777777" w:rsidR="006B2EDC" w:rsidRDefault="006B2EDC" w:rsidP="006B2EDC">
      <w:pPr>
        <w:pStyle w:val="Default"/>
        <w:jc w:val="both"/>
        <w:rPr>
          <w:rFonts w:ascii="Garamond" w:hAnsi="Garamond"/>
          <w:bCs/>
        </w:rPr>
      </w:pPr>
      <w:r>
        <w:rPr>
          <w:rFonts w:ascii="Garamond" w:hAnsi="Garamond"/>
          <w:b/>
        </w:rPr>
        <w:t>VI -</w:t>
      </w:r>
      <w:r>
        <w:rPr>
          <w:rFonts w:ascii="Garamond" w:hAnsi="Garamond"/>
          <w:bCs/>
        </w:rPr>
        <w:t xml:space="preserve"> A comprovação do cumprimento dos objetos pactuados nos instrumentos; e</w:t>
      </w:r>
    </w:p>
    <w:p w14:paraId="7EFDE1B1" w14:textId="77777777" w:rsidR="006B2EDC" w:rsidRDefault="006B2EDC" w:rsidP="006B2EDC">
      <w:pPr>
        <w:pStyle w:val="Default"/>
        <w:jc w:val="both"/>
        <w:rPr>
          <w:rFonts w:ascii="Garamond" w:hAnsi="Garamond"/>
          <w:bCs/>
        </w:rPr>
      </w:pPr>
      <w:r>
        <w:rPr>
          <w:rFonts w:ascii="Garamond" w:hAnsi="Garamond"/>
          <w:b/>
        </w:rPr>
        <w:t>VII -</w:t>
      </w:r>
      <w:r>
        <w:rPr>
          <w:rFonts w:ascii="Garamond" w:hAnsi="Garamond"/>
          <w:bCs/>
        </w:rPr>
        <w:t xml:space="preserve"> Na hipótese de não cumprimento integral dos objetos pactuados nos instrumentos, a identificação dos beneficiários e as providências adotadas para recomposição do dano.</w:t>
      </w:r>
    </w:p>
    <w:p w14:paraId="6CC84DFE" w14:textId="77777777" w:rsidR="006B2EDC" w:rsidRDefault="006B2EDC" w:rsidP="006B2EDC">
      <w:pPr>
        <w:pStyle w:val="Default"/>
        <w:jc w:val="both"/>
        <w:rPr>
          <w:rFonts w:ascii="Garamond" w:hAnsi="Garamond"/>
          <w:bCs/>
        </w:rPr>
      </w:pPr>
    </w:p>
    <w:p w14:paraId="5B64EB81" w14:textId="77777777" w:rsidR="006B2EDC" w:rsidRDefault="006B2EDC" w:rsidP="006B2EDC">
      <w:pPr>
        <w:pStyle w:val="Default"/>
        <w:jc w:val="both"/>
        <w:rPr>
          <w:rFonts w:ascii="Garamond" w:hAnsi="Garamond"/>
          <w:bCs/>
        </w:rPr>
      </w:pPr>
      <w:r>
        <w:rPr>
          <w:rFonts w:ascii="Garamond" w:hAnsi="Garamond"/>
          <w:b/>
        </w:rPr>
        <w:t>§ 3º.</w:t>
      </w:r>
      <w:r>
        <w:rPr>
          <w:rFonts w:ascii="Garamond" w:hAnsi="Garamond"/>
          <w:bCs/>
        </w:rPr>
        <w:t xml:space="preserve"> A comprovação de que trata o inciso VI do caput deverá ser fundamentada nos pareceres de cumprimento do objeto pactuado com cada beneficiário, atestados pelo ente federativo responsável pela distribuição dos recursos.</w:t>
      </w:r>
    </w:p>
    <w:p w14:paraId="49AB92CC" w14:textId="77777777" w:rsidR="006B2EDC" w:rsidRDefault="006B2EDC" w:rsidP="006B2EDC">
      <w:pPr>
        <w:pStyle w:val="Default"/>
        <w:jc w:val="both"/>
        <w:rPr>
          <w:rFonts w:ascii="Garamond" w:hAnsi="Garamond"/>
          <w:bCs/>
          <w:color w:val="auto"/>
        </w:rPr>
      </w:pPr>
    </w:p>
    <w:p w14:paraId="562B7B44" w14:textId="77777777" w:rsidR="006B2EDC" w:rsidRDefault="006B2EDC" w:rsidP="006B2EDC">
      <w:pPr>
        <w:pStyle w:val="Default"/>
        <w:jc w:val="both"/>
        <w:rPr>
          <w:rFonts w:ascii="Garamond" w:hAnsi="Garamond"/>
          <w:bCs/>
          <w:color w:val="auto"/>
        </w:rPr>
      </w:pPr>
      <w:r>
        <w:rPr>
          <w:rFonts w:ascii="Garamond" w:hAnsi="Garamond"/>
          <w:b/>
          <w:color w:val="auto"/>
        </w:rPr>
        <w:t xml:space="preserve">§ 4º. </w:t>
      </w:r>
      <w:r>
        <w:rPr>
          <w:rFonts w:ascii="Garamond" w:hAnsi="Garamond"/>
          <w:bCs/>
          <w:color w:val="auto"/>
        </w:rPr>
        <w:t>O município deverá dar ampla publicidade às iniciativas apoiadas pelos recursos recebidos na forma prevista no inciso II do caput do art. 2º e transmitidas pela internet ou disponibilizadas por meio de redes sociais e outras plataformas digitais, preferencialmente por meio da divulgação no sítio eletrônico oficial, cujo endereço eletrônico deverá ser informado no relatório de gestão final a que se refere o Anexo I.</w:t>
      </w:r>
    </w:p>
    <w:p w14:paraId="5D24D3C4" w14:textId="77777777" w:rsidR="006B2EDC" w:rsidRDefault="006B2EDC" w:rsidP="006B2EDC">
      <w:pPr>
        <w:pStyle w:val="Default"/>
        <w:jc w:val="both"/>
        <w:rPr>
          <w:rFonts w:ascii="Garamond" w:hAnsi="Garamond"/>
          <w:bCs/>
        </w:rPr>
      </w:pPr>
    </w:p>
    <w:p w14:paraId="68DCEDE7" w14:textId="77777777" w:rsidR="006B2EDC" w:rsidRDefault="006B2EDC" w:rsidP="006B2EDC">
      <w:pPr>
        <w:pStyle w:val="Default"/>
        <w:jc w:val="both"/>
        <w:rPr>
          <w:rFonts w:ascii="Garamond" w:hAnsi="Garamond"/>
          <w:bCs/>
        </w:rPr>
      </w:pPr>
      <w:r>
        <w:rPr>
          <w:rFonts w:ascii="Garamond" w:hAnsi="Garamond"/>
          <w:b/>
        </w:rPr>
        <w:t>Art. 8º.</w:t>
      </w:r>
      <w:r>
        <w:rPr>
          <w:rFonts w:ascii="Garamond" w:hAnsi="Garamond"/>
          <w:bCs/>
        </w:rPr>
        <w:t xml:space="preserve"> Os recursos não destinados ou que não tenham sido objeto de programação publicada no prazo de sessenta dias após a descentralização serão objeto de reversão ao fundo estadual de cultura do Estado onde o município se localiza ou, na falta deste, ao órgão ou à entidade estadual responsável pela gestão desses recursos.</w:t>
      </w:r>
    </w:p>
    <w:p w14:paraId="7E9F9FBD" w14:textId="77777777" w:rsidR="006B2EDC" w:rsidRDefault="006B2EDC" w:rsidP="006B2EDC">
      <w:pPr>
        <w:pStyle w:val="Default"/>
        <w:jc w:val="both"/>
        <w:rPr>
          <w:rFonts w:ascii="Garamond" w:hAnsi="Garamond"/>
          <w:bCs/>
        </w:rPr>
      </w:pPr>
    </w:p>
    <w:p w14:paraId="4CC01A48" w14:textId="29CB7A50" w:rsidR="006B2EDC" w:rsidRDefault="00D9146B" w:rsidP="006B2EDC">
      <w:pPr>
        <w:pStyle w:val="Default"/>
        <w:jc w:val="both"/>
        <w:rPr>
          <w:rFonts w:ascii="Garamond" w:hAnsi="Garamond"/>
          <w:bCs/>
        </w:rPr>
      </w:pPr>
      <w:r>
        <w:rPr>
          <w:rFonts w:ascii="Garamond" w:hAnsi="Garamond"/>
          <w:b/>
        </w:rPr>
        <w:lastRenderedPageBreak/>
        <w:t xml:space="preserve">Parágrafo Único - </w:t>
      </w:r>
      <w:r w:rsidR="006B2EDC">
        <w:rPr>
          <w:rFonts w:ascii="Garamond" w:hAnsi="Garamond"/>
          <w:bCs/>
        </w:rPr>
        <w:t>O município transferirá os recursos objeto de reversão diretamente da sua conta bancária criada na Plataforma +Brasil para a conta do Estado de que trata o § 4º do art. 11 no prazo de dez dias, contado da data a que se refere o caput.</w:t>
      </w:r>
    </w:p>
    <w:p w14:paraId="00BD297B" w14:textId="77777777" w:rsidR="006B2EDC" w:rsidRDefault="006B2EDC" w:rsidP="006B2EDC">
      <w:pPr>
        <w:pStyle w:val="Default"/>
        <w:jc w:val="both"/>
        <w:rPr>
          <w:rFonts w:ascii="Garamond" w:hAnsi="Garamond"/>
          <w:bCs/>
        </w:rPr>
      </w:pPr>
    </w:p>
    <w:p w14:paraId="73ED07AE" w14:textId="77777777" w:rsidR="006B2EDC" w:rsidRDefault="006B2EDC" w:rsidP="006B2EDC">
      <w:pPr>
        <w:pStyle w:val="Default"/>
        <w:jc w:val="both"/>
        <w:rPr>
          <w:rFonts w:ascii="Garamond" w:hAnsi="Garamond"/>
          <w:bCs/>
          <w:color w:val="auto"/>
        </w:rPr>
      </w:pPr>
      <w:r>
        <w:rPr>
          <w:rFonts w:ascii="Garamond" w:hAnsi="Garamond"/>
          <w:b/>
        </w:rPr>
        <w:t>Art. 9º.</w:t>
      </w:r>
      <w:r>
        <w:rPr>
          <w:rFonts w:ascii="Garamond" w:hAnsi="Garamond"/>
          <w:bCs/>
        </w:rPr>
        <w:t xml:space="preserve"> O município deverá apresentar o relatório de gestão final a que se refere o Anexo I à Secretaria Executiva do Ministério do Turismo no prazo de cento e oitenta dias, contado da data em que se encerrar o estado de calamidade pública reconhecido pel</w:t>
      </w:r>
      <w:r>
        <w:rPr>
          <w:rFonts w:ascii="Garamond" w:hAnsi="Garamond"/>
          <w:bCs/>
          <w:color w:val="auto"/>
        </w:rPr>
        <w:t>o Decreto Legislativo nº 6, de 2020.</w:t>
      </w:r>
    </w:p>
    <w:p w14:paraId="674CA0A9" w14:textId="77777777" w:rsidR="006B2EDC" w:rsidRDefault="006B2EDC" w:rsidP="006B2EDC">
      <w:pPr>
        <w:pStyle w:val="Default"/>
        <w:jc w:val="both"/>
        <w:rPr>
          <w:rFonts w:ascii="Garamond" w:hAnsi="Garamond"/>
          <w:bCs/>
          <w:color w:val="auto"/>
        </w:rPr>
      </w:pPr>
    </w:p>
    <w:p w14:paraId="01BC61EB" w14:textId="7E2024DA" w:rsidR="006B2EDC" w:rsidRDefault="006B2EDC" w:rsidP="006B2EDC">
      <w:pPr>
        <w:pStyle w:val="Default"/>
        <w:jc w:val="both"/>
        <w:rPr>
          <w:rFonts w:ascii="Garamond" w:hAnsi="Garamond"/>
          <w:bCs/>
          <w:color w:val="auto"/>
        </w:rPr>
      </w:pPr>
      <w:r>
        <w:rPr>
          <w:rFonts w:ascii="Garamond" w:hAnsi="Garamond"/>
          <w:b/>
          <w:color w:val="auto"/>
        </w:rPr>
        <w:t>Art. 10.</w:t>
      </w:r>
      <w:r>
        <w:rPr>
          <w:rFonts w:ascii="Garamond" w:hAnsi="Garamond"/>
          <w:bCs/>
          <w:color w:val="auto"/>
        </w:rPr>
        <w:t xml:space="preserve"> O município dará ampla publicidade e transparência à destinação dos recursos de que trata a Lei nº 14.017, de 2020.</w:t>
      </w:r>
    </w:p>
    <w:p w14:paraId="3232CCF6" w14:textId="77777777" w:rsidR="00D9146B" w:rsidRDefault="00D9146B" w:rsidP="006B2EDC">
      <w:pPr>
        <w:pStyle w:val="Default"/>
        <w:jc w:val="both"/>
        <w:rPr>
          <w:rFonts w:ascii="Garamond" w:hAnsi="Garamond"/>
          <w:bCs/>
          <w:color w:val="auto"/>
        </w:rPr>
      </w:pPr>
    </w:p>
    <w:p w14:paraId="330524C7" w14:textId="77777777" w:rsidR="006B2EDC" w:rsidRDefault="006B2EDC" w:rsidP="006B2EDC">
      <w:pPr>
        <w:pStyle w:val="Default"/>
        <w:jc w:val="both"/>
        <w:rPr>
          <w:rFonts w:ascii="Garamond" w:hAnsi="Garamond"/>
          <w:bCs/>
        </w:rPr>
      </w:pPr>
      <w:r>
        <w:rPr>
          <w:rFonts w:ascii="Garamond" w:hAnsi="Garamond"/>
          <w:b/>
          <w:color w:val="auto"/>
        </w:rPr>
        <w:t>Art. 11.</w:t>
      </w:r>
      <w:r>
        <w:rPr>
          <w:rFonts w:ascii="Garamond" w:hAnsi="Garamond"/>
          <w:bCs/>
          <w:color w:val="auto"/>
        </w:rPr>
        <w:t xml:space="preserve"> O m</w:t>
      </w:r>
      <w:r>
        <w:rPr>
          <w:rFonts w:ascii="Garamond" w:hAnsi="Garamond"/>
          <w:bCs/>
        </w:rPr>
        <w:t>unicípio deverá manter a documentação apresentada pelos beneficiários dos recursos a que se refere o art. 2º pelo prazo de dez anos.</w:t>
      </w:r>
    </w:p>
    <w:p w14:paraId="6760A6CE" w14:textId="77777777" w:rsidR="006B2EDC" w:rsidRDefault="006B2EDC" w:rsidP="006B2EDC">
      <w:pPr>
        <w:pStyle w:val="Default"/>
        <w:jc w:val="both"/>
        <w:rPr>
          <w:rFonts w:ascii="Garamond" w:hAnsi="Garamond"/>
          <w:bCs/>
        </w:rPr>
      </w:pPr>
    </w:p>
    <w:p w14:paraId="01EC2CBE" w14:textId="77777777" w:rsidR="006B2EDC" w:rsidRDefault="006B2EDC" w:rsidP="006B2EDC">
      <w:pPr>
        <w:pStyle w:val="Default"/>
        <w:jc w:val="both"/>
        <w:rPr>
          <w:rFonts w:ascii="Garamond" w:hAnsi="Garamond"/>
        </w:rPr>
      </w:pPr>
      <w:r>
        <w:rPr>
          <w:rFonts w:ascii="Garamond" w:hAnsi="Garamond"/>
          <w:b/>
        </w:rPr>
        <w:t>Art. 12.</w:t>
      </w:r>
      <w:r>
        <w:rPr>
          <w:rFonts w:ascii="Garamond" w:hAnsi="Garamond"/>
          <w:bCs/>
        </w:rPr>
        <w:t xml:space="preserve"> </w:t>
      </w:r>
      <w:r>
        <w:rPr>
          <w:rFonts w:ascii="Garamond" w:hAnsi="Garamond"/>
        </w:rPr>
        <w:t>Fica criado o Comitê Gestor de acompanhamento, operacionalização e aplicação dos Recursos repassados pela União por intermédio da Lei 14.017, de 2020 (Lei Aldir Blanc), composta pelos seguintes membros:</w:t>
      </w:r>
    </w:p>
    <w:p w14:paraId="5C7D2AD2" w14:textId="77777777" w:rsidR="006B2EDC" w:rsidRDefault="006B2EDC" w:rsidP="006B2EDC">
      <w:pPr>
        <w:pStyle w:val="Default"/>
        <w:jc w:val="both"/>
        <w:rPr>
          <w:rFonts w:ascii="Garamond" w:hAnsi="Garamond"/>
        </w:rPr>
      </w:pPr>
    </w:p>
    <w:p w14:paraId="48E0A42A" w14:textId="77777777" w:rsidR="006B2EDC" w:rsidRDefault="006B2EDC" w:rsidP="006B2EDC">
      <w:pPr>
        <w:pStyle w:val="Default"/>
        <w:jc w:val="both"/>
        <w:rPr>
          <w:rFonts w:ascii="Garamond" w:hAnsi="Garamond"/>
        </w:rPr>
      </w:pPr>
      <w:r>
        <w:rPr>
          <w:rFonts w:ascii="Garamond" w:hAnsi="Garamond"/>
          <w:b/>
          <w:bCs/>
        </w:rPr>
        <w:t>I –</w:t>
      </w:r>
      <w:r>
        <w:rPr>
          <w:rFonts w:ascii="Garamond" w:hAnsi="Garamond"/>
        </w:rPr>
        <w:t xml:space="preserve"> Representante da Secretaria Municipal de Cultura, Esportes, Turismo e Lazer - SECETUL;</w:t>
      </w:r>
    </w:p>
    <w:p w14:paraId="377334AF" w14:textId="77777777" w:rsidR="006B2EDC" w:rsidRDefault="006B2EDC" w:rsidP="006B2EDC">
      <w:pPr>
        <w:pStyle w:val="Default"/>
        <w:jc w:val="both"/>
        <w:rPr>
          <w:rFonts w:ascii="Garamond" w:hAnsi="Garamond"/>
        </w:rPr>
      </w:pPr>
      <w:r>
        <w:rPr>
          <w:rFonts w:ascii="Garamond" w:hAnsi="Garamond"/>
          <w:b/>
          <w:bCs/>
        </w:rPr>
        <w:t>II -</w:t>
      </w:r>
      <w:r>
        <w:rPr>
          <w:rFonts w:ascii="Garamond" w:hAnsi="Garamond"/>
        </w:rPr>
        <w:t xml:space="preserve"> Representante do Gabinete do Prefeito;</w:t>
      </w:r>
    </w:p>
    <w:p w14:paraId="26E47B99" w14:textId="77777777" w:rsidR="006B2EDC" w:rsidRDefault="006B2EDC" w:rsidP="006B2EDC">
      <w:pPr>
        <w:pStyle w:val="Default"/>
        <w:jc w:val="both"/>
        <w:rPr>
          <w:rFonts w:ascii="Garamond" w:hAnsi="Garamond"/>
        </w:rPr>
      </w:pPr>
      <w:r>
        <w:rPr>
          <w:rFonts w:ascii="Garamond" w:hAnsi="Garamond"/>
          <w:b/>
          <w:bCs/>
        </w:rPr>
        <w:t>III -</w:t>
      </w:r>
      <w:r>
        <w:rPr>
          <w:rFonts w:ascii="Garamond" w:hAnsi="Garamond"/>
        </w:rPr>
        <w:t xml:space="preserve"> Representante da Procuradoria Jurídica do Município;</w:t>
      </w:r>
    </w:p>
    <w:p w14:paraId="3FD4CD35" w14:textId="77777777" w:rsidR="006B2EDC" w:rsidRDefault="006B2EDC" w:rsidP="006B2EDC">
      <w:pPr>
        <w:pStyle w:val="Default"/>
        <w:jc w:val="both"/>
        <w:rPr>
          <w:rFonts w:ascii="Garamond" w:hAnsi="Garamond"/>
        </w:rPr>
      </w:pPr>
      <w:r>
        <w:rPr>
          <w:rFonts w:ascii="Garamond" w:hAnsi="Garamond"/>
          <w:b/>
          <w:bCs/>
        </w:rPr>
        <w:t>IV -</w:t>
      </w:r>
      <w:r>
        <w:rPr>
          <w:rFonts w:ascii="Garamond" w:hAnsi="Garamond"/>
        </w:rPr>
        <w:t xml:space="preserve"> Representante da Secretaria Municipal de Administração;</w:t>
      </w:r>
    </w:p>
    <w:p w14:paraId="30FDC31F" w14:textId="77777777" w:rsidR="006B2EDC" w:rsidRDefault="006B2EDC" w:rsidP="006B2EDC">
      <w:pPr>
        <w:pStyle w:val="Default"/>
        <w:jc w:val="both"/>
        <w:rPr>
          <w:rFonts w:ascii="Garamond" w:hAnsi="Garamond"/>
        </w:rPr>
      </w:pPr>
      <w:r>
        <w:rPr>
          <w:rFonts w:ascii="Garamond" w:hAnsi="Garamond"/>
          <w:b/>
          <w:bCs/>
        </w:rPr>
        <w:t>V -</w:t>
      </w:r>
      <w:r>
        <w:rPr>
          <w:rFonts w:ascii="Garamond" w:hAnsi="Garamond"/>
        </w:rPr>
        <w:t xml:space="preserve"> Representante da Contabilidade do Município;</w:t>
      </w:r>
    </w:p>
    <w:p w14:paraId="5395567B" w14:textId="77777777" w:rsidR="006B2EDC" w:rsidRDefault="006B2EDC" w:rsidP="006B2EDC">
      <w:pPr>
        <w:pStyle w:val="Default"/>
        <w:jc w:val="both"/>
        <w:rPr>
          <w:rFonts w:ascii="Garamond" w:hAnsi="Garamond"/>
        </w:rPr>
      </w:pPr>
      <w:r>
        <w:rPr>
          <w:rFonts w:ascii="Garamond" w:hAnsi="Garamond"/>
          <w:b/>
          <w:bCs/>
        </w:rPr>
        <w:t>VI -</w:t>
      </w:r>
      <w:r>
        <w:rPr>
          <w:rFonts w:ascii="Garamond" w:hAnsi="Garamond"/>
        </w:rPr>
        <w:t xml:space="preserve"> Representante do Conselho Municipal de Cultura;</w:t>
      </w:r>
    </w:p>
    <w:p w14:paraId="28F765CC" w14:textId="77777777" w:rsidR="006B2EDC" w:rsidRDefault="006B2EDC" w:rsidP="006B2EDC">
      <w:pPr>
        <w:pStyle w:val="Default"/>
        <w:jc w:val="both"/>
        <w:rPr>
          <w:rFonts w:ascii="Garamond" w:hAnsi="Garamond"/>
        </w:rPr>
      </w:pPr>
      <w:r>
        <w:rPr>
          <w:rFonts w:ascii="Garamond" w:hAnsi="Garamond"/>
          <w:b/>
          <w:bCs/>
        </w:rPr>
        <w:t xml:space="preserve">VII – </w:t>
      </w:r>
      <w:r>
        <w:rPr>
          <w:rFonts w:ascii="Garamond" w:hAnsi="Garamond"/>
        </w:rPr>
        <w:t>Representante da Câmara de Vereadores do Município de Biguaçu;</w:t>
      </w:r>
    </w:p>
    <w:p w14:paraId="12BA5537" w14:textId="77777777" w:rsidR="006B2EDC" w:rsidRDefault="006B2EDC" w:rsidP="006B2EDC">
      <w:pPr>
        <w:pStyle w:val="Default"/>
        <w:jc w:val="both"/>
        <w:rPr>
          <w:rFonts w:ascii="Garamond" w:hAnsi="Garamond"/>
        </w:rPr>
      </w:pPr>
      <w:r>
        <w:rPr>
          <w:rFonts w:ascii="Garamond" w:hAnsi="Garamond"/>
          <w:b/>
          <w:bCs/>
        </w:rPr>
        <w:t xml:space="preserve">VIII – </w:t>
      </w:r>
      <w:r>
        <w:rPr>
          <w:rFonts w:ascii="Garamond" w:hAnsi="Garamond"/>
        </w:rPr>
        <w:t>Representante da Academia de Letras de Biguaçu;</w:t>
      </w:r>
    </w:p>
    <w:p w14:paraId="40EBFD61" w14:textId="77777777" w:rsidR="006B2EDC" w:rsidRDefault="006B2EDC" w:rsidP="006B2EDC">
      <w:pPr>
        <w:pStyle w:val="Default"/>
        <w:jc w:val="both"/>
        <w:rPr>
          <w:rFonts w:ascii="Garamond" w:hAnsi="Garamond"/>
        </w:rPr>
      </w:pPr>
      <w:r>
        <w:rPr>
          <w:rFonts w:ascii="Garamond" w:hAnsi="Garamond"/>
          <w:b/>
          <w:bCs/>
        </w:rPr>
        <w:t xml:space="preserve">IX – </w:t>
      </w:r>
      <w:r>
        <w:rPr>
          <w:rFonts w:ascii="Garamond" w:hAnsi="Garamond"/>
        </w:rPr>
        <w:t>Superintendente de Relações Institucionais.</w:t>
      </w:r>
    </w:p>
    <w:p w14:paraId="386442F0" w14:textId="77777777" w:rsidR="006B2EDC" w:rsidRDefault="006B2EDC" w:rsidP="006B2EDC">
      <w:pPr>
        <w:pStyle w:val="Default"/>
        <w:jc w:val="both"/>
        <w:rPr>
          <w:rFonts w:ascii="Garamond" w:hAnsi="Garamond"/>
        </w:rPr>
      </w:pPr>
    </w:p>
    <w:p w14:paraId="7968BCB6" w14:textId="77777777" w:rsidR="006B2EDC" w:rsidRDefault="006B2EDC" w:rsidP="006B2EDC">
      <w:pPr>
        <w:pStyle w:val="Default"/>
        <w:jc w:val="both"/>
        <w:rPr>
          <w:rFonts w:ascii="Garamond" w:hAnsi="Garamond"/>
        </w:rPr>
      </w:pPr>
      <w:r>
        <w:rPr>
          <w:rFonts w:ascii="Garamond" w:hAnsi="Garamond"/>
          <w:b/>
          <w:bCs/>
        </w:rPr>
        <w:t>Art. 13.</w:t>
      </w:r>
      <w:r>
        <w:rPr>
          <w:rFonts w:ascii="Garamond" w:hAnsi="Garamond"/>
        </w:rPr>
        <w:t xml:space="preserve"> O Comitê Gestor terá as seguintes atribuições:</w:t>
      </w:r>
    </w:p>
    <w:p w14:paraId="421C95EB" w14:textId="77777777" w:rsidR="006B2EDC" w:rsidRDefault="006B2EDC" w:rsidP="006B2EDC">
      <w:pPr>
        <w:pStyle w:val="Default"/>
        <w:jc w:val="both"/>
        <w:rPr>
          <w:rFonts w:ascii="Garamond" w:hAnsi="Garamond"/>
        </w:rPr>
      </w:pPr>
    </w:p>
    <w:p w14:paraId="5DB01F54" w14:textId="77777777" w:rsidR="006B2EDC" w:rsidRDefault="006B2EDC" w:rsidP="006B2EDC">
      <w:pPr>
        <w:pStyle w:val="Default"/>
        <w:jc w:val="both"/>
        <w:rPr>
          <w:rFonts w:ascii="Garamond" w:hAnsi="Garamond"/>
        </w:rPr>
      </w:pPr>
      <w:r>
        <w:rPr>
          <w:rFonts w:ascii="Garamond" w:hAnsi="Garamond"/>
          <w:b/>
          <w:bCs/>
        </w:rPr>
        <w:t>I –</w:t>
      </w:r>
      <w:r>
        <w:rPr>
          <w:rFonts w:ascii="Garamond" w:hAnsi="Garamond"/>
        </w:rPr>
        <w:t xml:space="preserve"> Elaborar e dar publicidade dos instrumentos a que se referem o inciso II do art. 2º do presente Decreto;</w:t>
      </w:r>
    </w:p>
    <w:p w14:paraId="71379AD3" w14:textId="77777777" w:rsidR="006B2EDC" w:rsidRDefault="006B2EDC" w:rsidP="006B2EDC">
      <w:pPr>
        <w:pStyle w:val="Default"/>
        <w:jc w:val="both"/>
        <w:rPr>
          <w:rFonts w:ascii="Garamond" w:hAnsi="Garamond"/>
        </w:rPr>
      </w:pPr>
      <w:r>
        <w:rPr>
          <w:rFonts w:ascii="Garamond" w:hAnsi="Garamond"/>
          <w:b/>
          <w:bCs/>
        </w:rPr>
        <w:t>II –</w:t>
      </w:r>
      <w:r>
        <w:rPr>
          <w:rFonts w:ascii="Garamond" w:hAnsi="Garamond"/>
        </w:rPr>
        <w:t xml:space="preserve"> Receber e analisar a documentação apresentada pelos interessados nos repasses mensais dos subsídios referenciados no inciso I do art. 2º do presente Decreto;</w:t>
      </w:r>
    </w:p>
    <w:p w14:paraId="6CCD05CB" w14:textId="77777777" w:rsidR="006B2EDC" w:rsidRDefault="006B2EDC" w:rsidP="006B2EDC">
      <w:pPr>
        <w:pStyle w:val="Default"/>
        <w:jc w:val="both"/>
        <w:rPr>
          <w:rFonts w:ascii="Garamond" w:hAnsi="Garamond"/>
        </w:rPr>
      </w:pPr>
      <w:r>
        <w:rPr>
          <w:rFonts w:ascii="Garamond" w:hAnsi="Garamond"/>
          <w:b/>
          <w:bCs/>
        </w:rPr>
        <w:t>III –</w:t>
      </w:r>
      <w:r>
        <w:rPr>
          <w:rFonts w:ascii="Garamond" w:hAnsi="Garamond"/>
        </w:rPr>
        <w:t xml:space="preserve"> Manifestar-se sobre a regularidade ou irregularidade da documentação apresentada pelos interessados;</w:t>
      </w:r>
    </w:p>
    <w:p w14:paraId="7077888A" w14:textId="77777777" w:rsidR="006B2EDC" w:rsidRDefault="006B2EDC" w:rsidP="006B2EDC">
      <w:pPr>
        <w:pStyle w:val="Default"/>
        <w:jc w:val="both"/>
        <w:rPr>
          <w:rFonts w:ascii="Garamond" w:hAnsi="Garamond"/>
        </w:rPr>
      </w:pPr>
      <w:r>
        <w:rPr>
          <w:rFonts w:ascii="Garamond" w:hAnsi="Garamond"/>
          <w:b/>
          <w:bCs/>
        </w:rPr>
        <w:t>IV –</w:t>
      </w:r>
      <w:r>
        <w:rPr>
          <w:rFonts w:ascii="Garamond" w:hAnsi="Garamond"/>
        </w:rPr>
        <w:t xml:space="preserve"> Encaminhar a documentação, acompanhada de parecer favorável, à Contabilidade para fins de empenhamento e posterior pagamento dos subsídios aos interessados aptos ao recebimento do valor do subsídio;</w:t>
      </w:r>
    </w:p>
    <w:p w14:paraId="791E6D93" w14:textId="77777777" w:rsidR="006B2EDC" w:rsidRDefault="006B2EDC" w:rsidP="006B2EDC">
      <w:pPr>
        <w:pStyle w:val="Default"/>
        <w:jc w:val="both"/>
        <w:rPr>
          <w:rFonts w:ascii="Garamond" w:hAnsi="Garamond"/>
          <w:bCs/>
        </w:rPr>
      </w:pPr>
      <w:r>
        <w:rPr>
          <w:rFonts w:ascii="Garamond" w:hAnsi="Garamond"/>
          <w:b/>
        </w:rPr>
        <w:t>V -</w:t>
      </w:r>
      <w:r>
        <w:rPr>
          <w:rFonts w:ascii="Garamond" w:hAnsi="Garamond"/>
          <w:bCs/>
        </w:rPr>
        <w:t xml:space="preserve"> Acompanhar as etapas de transferência dos recursos do Governo Federal para o Município;</w:t>
      </w:r>
    </w:p>
    <w:p w14:paraId="08A975A6" w14:textId="77777777" w:rsidR="006B2EDC" w:rsidRDefault="006B2EDC" w:rsidP="006B2EDC">
      <w:pPr>
        <w:pStyle w:val="Default"/>
        <w:jc w:val="both"/>
        <w:rPr>
          <w:rFonts w:ascii="Garamond" w:hAnsi="Garamond"/>
          <w:bCs/>
        </w:rPr>
      </w:pPr>
      <w:r>
        <w:rPr>
          <w:rFonts w:ascii="Garamond" w:hAnsi="Garamond"/>
          <w:b/>
        </w:rPr>
        <w:t>VI –</w:t>
      </w:r>
      <w:r>
        <w:rPr>
          <w:rFonts w:ascii="Garamond" w:hAnsi="Garamond"/>
          <w:bCs/>
        </w:rPr>
        <w:t xml:space="preserve"> Subsidiar o Gestor Municipal para a tomada de decisão quanto à aplicação dos recursos da Lei Federal 14.017/2020;</w:t>
      </w:r>
    </w:p>
    <w:p w14:paraId="3E1CB952" w14:textId="77777777" w:rsidR="006B2EDC" w:rsidRDefault="006B2EDC" w:rsidP="006B2EDC">
      <w:pPr>
        <w:pStyle w:val="Default"/>
        <w:jc w:val="both"/>
        <w:rPr>
          <w:rFonts w:ascii="Garamond" w:hAnsi="Garamond"/>
          <w:bCs/>
        </w:rPr>
      </w:pPr>
      <w:r>
        <w:rPr>
          <w:rFonts w:ascii="Garamond" w:hAnsi="Garamond"/>
          <w:b/>
          <w:bCs/>
        </w:rPr>
        <w:t>VII -</w:t>
      </w:r>
      <w:r>
        <w:rPr>
          <w:rFonts w:ascii="Garamond" w:hAnsi="Garamond"/>
        </w:rPr>
        <w:t xml:space="preserve"> </w:t>
      </w:r>
      <w:r>
        <w:rPr>
          <w:rFonts w:ascii="Garamond" w:hAnsi="Garamond"/>
          <w:bCs/>
        </w:rPr>
        <w:t>Elaborar relatórios da prestação de contas relativamente à execução dos recursos no âmbito do Município.</w:t>
      </w:r>
    </w:p>
    <w:p w14:paraId="2F4A4246" w14:textId="77777777" w:rsidR="006B2EDC" w:rsidRDefault="006B2EDC" w:rsidP="006B2EDC">
      <w:pPr>
        <w:pStyle w:val="Default"/>
        <w:jc w:val="both"/>
        <w:rPr>
          <w:rFonts w:ascii="Garamond" w:hAnsi="Garamond"/>
          <w:bCs/>
          <w:color w:val="auto"/>
        </w:rPr>
      </w:pPr>
      <w:r>
        <w:rPr>
          <w:rFonts w:ascii="Garamond" w:hAnsi="Garamond"/>
          <w:b/>
          <w:bCs/>
          <w:color w:val="auto"/>
        </w:rPr>
        <w:t xml:space="preserve">VIII – </w:t>
      </w:r>
      <w:r>
        <w:rPr>
          <w:rFonts w:ascii="Garamond" w:hAnsi="Garamond"/>
          <w:bCs/>
          <w:color w:val="auto"/>
        </w:rPr>
        <w:t>Analisar e avaliar os projetos culturais apresentados pelos inscritos, conforme previsão em edital, bem como requisitar alterações e complementações nos projetos apresentados.</w:t>
      </w:r>
    </w:p>
    <w:p w14:paraId="4EDD3BB0" w14:textId="77777777" w:rsidR="006B2EDC" w:rsidRDefault="006B2EDC" w:rsidP="006B2EDC">
      <w:pPr>
        <w:pStyle w:val="Default"/>
        <w:jc w:val="both"/>
        <w:rPr>
          <w:rFonts w:ascii="Garamond" w:hAnsi="Garamond"/>
          <w:bCs/>
          <w:color w:val="auto"/>
        </w:rPr>
      </w:pPr>
    </w:p>
    <w:p w14:paraId="1847BAFD" w14:textId="77777777" w:rsidR="006B2EDC" w:rsidRDefault="006B2EDC" w:rsidP="006B2EDC">
      <w:pPr>
        <w:pStyle w:val="Default"/>
        <w:jc w:val="both"/>
        <w:rPr>
          <w:rFonts w:ascii="Garamond" w:hAnsi="Garamond"/>
          <w:bCs/>
          <w:color w:val="auto"/>
        </w:rPr>
      </w:pPr>
      <w:r>
        <w:rPr>
          <w:rFonts w:ascii="Garamond" w:hAnsi="Garamond"/>
          <w:b/>
          <w:color w:val="auto"/>
        </w:rPr>
        <w:t>Art. 14.</w:t>
      </w:r>
      <w:r>
        <w:rPr>
          <w:rFonts w:ascii="Garamond" w:hAnsi="Garamond"/>
          <w:bCs/>
          <w:color w:val="auto"/>
        </w:rPr>
        <w:t xml:space="preserve"> A fiscalização dos repasses dos recursos da Lei nº 14.017, de 29 de junho de 2020, destinada às ações emergenciais ao setor cultural, será exercida pela Secretaria Municipal de Cultura, Esporte, Turismo e Lazer - SECETUL, com as seguintes atribuições:</w:t>
      </w:r>
    </w:p>
    <w:p w14:paraId="12DD2C8B" w14:textId="77777777" w:rsidR="006B2EDC" w:rsidRDefault="006B2EDC" w:rsidP="006B2EDC">
      <w:pPr>
        <w:pStyle w:val="Default"/>
        <w:jc w:val="both"/>
        <w:rPr>
          <w:rFonts w:ascii="Garamond" w:hAnsi="Garamond"/>
          <w:color w:val="auto"/>
        </w:rPr>
      </w:pPr>
    </w:p>
    <w:p w14:paraId="4A027F8D" w14:textId="77777777" w:rsidR="006B2EDC" w:rsidRDefault="006B2EDC" w:rsidP="006B2EDC">
      <w:pPr>
        <w:pStyle w:val="Default"/>
        <w:jc w:val="both"/>
        <w:rPr>
          <w:rFonts w:ascii="Garamond" w:hAnsi="Garamond"/>
          <w:color w:val="auto"/>
        </w:rPr>
      </w:pPr>
      <w:r>
        <w:rPr>
          <w:rFonts w:ascii="Garamond" w:hAnsi="Garamond"/>
          <w:b/>
          <w:bCs/>
          <w:color w:val="auto"/>
        </w:rPr>
        <w:lastRenderedPageBreak/>
        <w:t>I -</w:t>
      </w:r>
      <w:r>
        <w:rPr>
          <w:rFonts w:ascii="Garamond" w:hAnsi="Garamond"/>
          <w:color w:val="auto"/>
        </w:rPr>
        <w:t xml:space="preserve"> Acompanhar as etapas de transferência direta dos recursos do Governo Federal e/ou Estadual para o Município de Biguaçu; </w:t>
      </w:r>
    </w:p>
    <w:p w14:paraId="36C998D4" w14:textId="77777777" w:rsidR="006B2EDC" w:rsidRDefault="006B2EDC" w:rsidP="006B2EDC">
      <w:pPr>
        <w:pStyle w:val="Default"/>
        <w:jc w:val="both"/>
        <w:rPr>
          <w:rFonts w:ascii="Garamond" w:hAnsi="Garamond"/>
          <w:color w:val="auto"/>
        </w:rPr>
      </w:pPr>
      <w:r>
        <w:rPr>
          <w:rFonts w:ascii="Garamond" w:hAnsi="Garamond"/>
          <w:b/>
          <w:bCs/>
          <w:color w:val="auto"/>
        </w:rPr>
        <w:t>II -</w:t>
      </w:r>
      <w:r>
        <w:rPr>
          <w:rFonts w:ascii="Garamond" w:hAnsi="Garamond"/>
          <w:color w:val="auto"/>
        </w:rPr>
        <w:t xml:space="preserve"> Fiscalizar a execução dos recursos transferidos, incluindo a publicidade das ações; </w:t>
      </w:r>
    </w:p>
    <w:p w14:paraId="5C099936" w14:textId="77777777" w:rsidR="006B2EDC" w:rsidRDefault="006B2EDC" w:rsidP="006B2EDC">
      <w:pPr>
        <w:pStyle w:val="Default"/>
        <w:jc w:val="both"/>
        <w:rPr>
          <w:rFonts w:ascii="Garamond" w:hAnsi="Garamond"/>
          <w:color w:val="auto"/>
        </w:rPr>
      </w:pPr>
      <w:r>
        <w:rPr>
          <w:rFonts w:ascii="Garamond" w:hAnsi="Garamond"/>
          <w:b/>
          <w:bCs/>
          <w:color w:val="auto"/>
        </w:rPr>
        <w:t>III -</w:t>
      </w:r>
      <w:r>
        <w:rPr>
          <w:rFonts w:ascii="Garamond" w:hAnsi="Garamond"/>
          <w:color w:val="auto"/>
        </w:rPr>
        <w:t xml:space="preserve"> Acompanhar a execução dos recursos no âmbito do Município de Biguaçu, de acordo com as prestações de contas apresentadas pelo Comitê Gestor.</w:t>
      </w:r>
    </w:p>
    <w:p w14:paraId="7747930B" w14:textId="77777777" w:rsidR="006B2EDC" w:rsidRDefault="006B2EDC" w:rsidP="006B2EDC">
      <w:pPr>
        <w:pStyle w:val="Default"/>
        <w:jc w:val="both"/>
        <w:rPr>
          <w:rFonts w:ascii="Garamond" w:hAnsi="Garamond"/>
        </w:rPr>
      </w:pPr>
    </w:p>
    <w:p w14:paraId="0FE0F274" w14:textId="77777777" w:rsidR="006B2EDC" w:rsidRDefault="006B2EDC" w:rsidP="006B2EDC">
      <w:pPr>
        <w:pStyle w:val="Default"/>
        <w:jc w:val="both"/>
        <w:rPr>
          <w:rFonts w:ascii="Garamond" w:hAnsi="Garamond"/>
        </w:rPr>
      </w:pPr>
      <w:r>
        <w:rPr>
          <w:rFonts w:ascii="Garamond" w:hAnsi="Garamond"/>
          <w:b/>
          <w:bCs/>
        </w:rPr>
        <w:t>Art. 15.</w:t>
      </w:r>
      <w:r>
        <w:rPr>
          <w:rFonts w:ascii="Garamond" w:hAnsi="Garamond"/>
        </w:rPr>
        <w:t xml:space="preserve"> A transferência do recurso/subsidio ao interessado habilitado será feita mediante depósito em conta bancária de titularidade do proponente.</w:t>
      </w:r>
    </w:p>
    <w:p w14:paraId="43C1FD85" w14:textId="77777777" w:rsidR="006B2EDC" w:rsidRDefault="006B2EDC" w:rsidP="006B2EDC">
      <w:pPr>
        <w:pStyle w:val="Default"/>
        <w:jc w:val="both"/>
        <w:rPr>
          <w:rFonts w:ascii="Garamond" w:hAnsi="Garamond"/>
        </w:rPr>
      </w:pPr>
    </w:p>
    <w:p w14:paraId="0427A5B2" w14:textId="77777777" w:rsidR="006B2EDC" w:rsidRDefault="006B2EDC" w:rsidP="006B2EDC">
      <w:pPr>
        <w:pStyle w:val="Default"/>
        <w:jc w:val="both"/>
        <w:rPr>
          <w:rFonts w:ascii="Garamond" w:hAnsi="Garamond"/>
        </w:rPr>
      </w:pPr>
      <w:r>
        <w:rPr>
          <w:rFonts w:ascii="Garamond" w:hAnsi="Garamond"/>
          <w:b/>
          <w:bCs/>
        </w:rPr>
        <w:t>Art. 16.</w:t>
      </w:r>
      <w:r>
        <w:rPr>
          <w:rFonts w:ascii="Garamond" w:hAnsi="Garamond"/>
        </w:rPr>
        <w:t xml:space="preserve"> Todas as informações de interesse público relativas à aplicação da Lei Federal nº. 14.017, de 2020, em âmbito local, ficarão disponíveis no seguinte endereço eletrônico: www.bigua.atende.net. </w:t>
      </w:r>
    </w:p>
    <w:p w14:paraId="000C50FF" w14:textId="77777777" w:rsidR="006B2EDC" w:rsidRDefault="006B2EDC" w:rsidP="006B2EDC">
      <w:pPr>
        <w:pStyle w:val="Default"/>
        <w:jc w:val="both"/>
        <w:rPr>
          <w:rFonts w:ascii="Garamond" w:hAnsi="Garamond"/>
          <w:bCs/>
        </w:rPr>
      </w:pPr>
    </w:p>
    <w:p w14:paraId="738BE401" w14:textId="77777777" w:rsidR="006B2EDC" w:rsidRDefault="006B2EDC" w:rsidP="006B2EDC">
      <w:pPr>
        <w:pStyle w:val="Default"/>
        <w:jc w:val="both"/>
        <w:rPr>
          <w:rFonts w:ascii="Garamond" w:hAnsi="Garamond"/>
        </w:rPr>
      </w:pPr>
      <w:r>
        <w:rPr>
          <w:rFonts w:ascii="Garamond" w:hAnsi="Garamond"/>
          <w:b/>
        </w:rPr>
        <w:t>Art. 17.</w:t>
      </w:r>
      <w:r>
        <w:rPr>
          <w:rFonts w:ascii="Garamond" w:hAnsi="Garamond"/>
          <w:bCs/>
        </w:rPr>
        <w:t xml:space="preserve"> </w:t>
      </w:r>
      <w:r>
        <w:rPr>
          <w:rFonts w:ascii="Garamond" w:hAnsi="Garamond"/>
        </w:rPr>
        <w:t xml:space="preserve">A Secretaria Municipal de Cultura, Esportes, Turismo e Lazer – SECETUL, poderá expedir normas para complementar, esclarecer e orientar a execução da Lei Federal nº 14.017, de 2020, inclusive no tocante à forma de execução de seu art. 2º. </w:t>
      </w:r>
    </w:p>
    <w:p w14:paraId="58B7025C" w14:textId="77777777" w:rsidR="006B2EDC" w:rsidRDefault="006B2EDC" w:rsidP="006B2EDC">
      <w:pPr>
        <w:pStyle w:val="Default"/>
        <w:jc w:val="both"/>
        <w:rPr>
          <w:rFonts w:ascii="Garamond" w:hAnsi="Garamond"/>
        </w:rPr>
      </w:pPr>
    </w:p>
    <w:p w14:paraId="7FE25E9B" w14:textId="77777777" w:rsidR="006B2EDC" w:rsidRDefault="006B2EDC" w:rsidP="006B2EDC">
      <w:pPr>
        <w:pStyle w:val="Default"/>
        <w:jc w:val="both"/>
        <w:rPr>
          <w:rFonts w:ascii="Garamond" w:hAnsi="Garamond"/>
        </w:rPr>
      </w:pPr>
      <w:r>
        <w:rPr>
          <w:rFonts w:ascii="Garamond" w:hAnsi="Garamond"/>
          <w:b/>
          <w:bCs/>
        </w:rPr>
        <w:t xml:space="preserve">Art. 18. </w:t>
      </w:r>
      <w:r>
        <w:rPr>
          <w:rFonts w:ascii="Garamond" w:hAnsi="Garamond"/>
        </w:rPr>
        <w:t xml:space="preserve">Os atos internos serão regulamentados através de Portaria da Secretaria Municipal de Cultura, Esportes, Turismo e Lazer – SECETUL. </w:t>
      </w:r>
    </w:p>
    <w:p w14:paraId="2A5462AF" w14:textId="77777777" w:rsidR="006B2EDC" w:rsidRDefault="006B2EDC" w:rsidP="006B2EDC">
      <w:pPr>
        <w:pStyle w:val="Default"/>
        <w:jc w:val="both"/>
        <w:rPr>
          <w:rFonts w:ascii="Garamond" w:hAnsi="Garamond"/>
          <w:bCs/>
        </w:rPr>
      </w:pPr>
    </w:p>
    <w:p w14:paraId="025AAF84" w14:textId="77777777" w:rsidR="006B2EDC" w:rsidRDefault="006B2EDC" w:rsidP="006B2EDC">
      <w:pPr>
        <w:pStyle w:val="Default"/>
        <w:jc w:val="both"/>
        <w:rPr>
          <w:rFonts w:ascii="Garamond" w:hAnsi="Garamond"/>
        </w:rPr>
      </w:pPr>
      <w:r>
        <w:rPr>
          <w:rFonts w:ascii="Garamond" w:hAnsi="Garamond"/>
          <w:b/>
        </w:rPr>
        <w:t>Art. 19.</w:t>
      </w:r>
      <w:r>
        <w:rPr>
          <w:rFonts w:ascii="Garamond" w:hAnsi="Garamond"/>
          <w:bCs/>
        </w:rPr>
        <w:t xml:space="preserve"> </w:t>
      </w:r>
      <w:r>
        <w:rPr>
          <w:rFonts w:ascii="Garamond" w:hAnsi="Garamond"/>
        </w:rPr>
        <w:t>Fica revogado o Decreto Municipal n.  182, de 24 de julho de 2020.</w:t>
      </w:r>
    </w:p>
    <w:p w14:paraId="6C0C098E" w14:textId="77777777" w:rsidR="006B2EDC" w:rsidRDefault="006B2EDC" w:rsidP="006B2EDC">
      <w:pPr>
        <w:pStyle w:val="Default"/>
        <w:jc w:val="both"/>
        <w:rPr>
          <w:rFonts w:ascii="Garamond" w:hAnsi="Garamond"/>
          <w:bCs/>
        </w:rPr>
      </w:pPr>
    </w:p>
    <w:p w14:paraId="24D78C0B" w14:textId="77777777" w:rsidR="006B2EDC" w:rsidRDefault="006B2EDC" w:rsidP="006B2EDC">
      <w:pPr>
        <w:pStyle w:val="Default"/>
        <w:jc w:val="both"/>
        <w:rPr>
          <w:rFonts w:ascii="Garamond" w:hAnsi="Garamond"/>
        </w:rPr>
      </w:pPr>
      <w:r>
        <w:rPr>
          <w:rFonts w:ascii="Garamond" w:hAnsi="Garamond"/>
          <w:b/>
          <w:bCs/>
        </w:rPr>
        <w:t xml:space="preserve">Art. 20. </w:t>
      </w:r>
      <w:r>
        <w:rPr>
          <w:rFonts w:ascii="Garamond" w:hAnsi="Garamond"/>
          <w:bCs/>
        </w:rPr>
        <w:t>E</w:t>
      </w:r>
      <w:r>
        <w:rPr>
          <w:rFonts w:ascii="Garamond" w:hAnsi="Garamond"/>
        </w:rPr>
        <w:t xml:space="preserve">ste Decreto entra em vigor na data de sua publicação. </w:t>
      </w:r>
    </w:p>
    <w:p w14:paraId="7C244B59" w14:textId="77777777" w:rsidR="006B2EDC" w:rsidRDefault="006B2EDC" w:rsidP="006B2EDC">
      <w:pPr>
        <w:pStyle w:val="Default"/>
        <w:jc w:val="both"/>
        <w:rPr>
          <w:rFonts w:ascii="Garamond" w:hAnsi="Garamond"/>
        </w:rPr>
      </w:pPr>
    </w:p>
    <w:p w14:paraId="663CE0D5" w14:textId="77777777" w:rsidR="00D9146B" w:rsidRDefault="00D9146B" w:rsidP="006B2EDC">
      <w:pPr>
        <w:pStyle w:val="Default"/>
        <w:jc w:val="both"/>
        <w:rPr>
          <w:rFonts w:ascii="Garamond" w:hAnsi="Garamond"/>
        </w:rPr>
      </w:pPr>
    </w:p>
    <w:p w14:paraId="176B8EDE" w14:textId="7C0F5159" w:rsidR="006B2EDC" w:rsidRDefault="00D9146B" w:rsidP="006B2EDC">
      <w:pPr>
        <w:pStyle w:val="Default"/>
        <w:jc w:val="both"/>
        <w:rPr>
          <w:rFonts w:ascii="Garamond" w:hAnsi="Garamond"/>
        </w:rPr>
      </w:pPr>
      <w:r>
        <w:rPr>
          <w:rFonts w:ascii="Garamond" w:hAnsi="Garamond"/>
        </w:rPr>
        <w:t xml:space="preserve">             </w:t>
      </w:r>
      <w:r w:rsidR="006B2EDC">
        <w:rPr>
          <w:rFonts w:ascii="Garamond" w:hAnsi="Garamond"/>
        </w:rPr>
        <w:t>Biguaçu, 2</w:t>
      </w:r>
      <w:r>
        <w:rPr>
          <w:rFonts w:ascii="Garamond" w:hAnsi="Garamond"/>
        </w:rPr>
        <w:t>8</w:t>
      </w:r>
      <w:r w:rsidR="006B2EDC">
        <w:rPr>
          <w:rFonts w:ascii="Garamond" w:hAnsi="Garamond"/>
        </w:rPr>
        <w:t xml:space="preserve"> de setembro de 2020.</w:t>
      </w:r>
    </w:p>
    <w:p w14:paraId="56CC7736" w14:textId="77777777" w:rsidR="008E0B22" w:rsidRDefault="008E0B22" w:rsidP="008E0B22">
      <w:pPr>
        <w:jc w:val="center"/>
        <w:rPr>
          <w:color w:val="000000"/>
        </w:rPr>
      </w:pPr>
    </w:p>
    <w:p w14:paraId="5D595240" w14:textId="77777777" w:rsidR="008E0B22" w:rsidRPr="00367BEF" w:rsidRDefault="008E0B22" w:rsidP="00367BEF">
      <w:pPr>
        <w:tabs>
          <w:tab w:val="left" w:pos="8505"/>
        </w:tabs>
        <w:jc w:val="both"/>
        <w:rPr>
          <w:b/>
          <w:sz w:val="22"/>
          <w:szCs w:val="22"/>
        </w:rPr>
      </w:pPr>
    </w:p>
    <w:p w14:paraId="5A817E6D" w14:textId="77777777" w:rsidR="009660D4" w:rsidRPr="00367BEF" w:rsidRDefault="009660D4" w:rsidP="00367BEF">
      <w:pPr>
        <w:ind w:right="49" w:firstLine="708"/>
        <w:rPr>
          <w:sz w:val="22"/>
          <w:szCs w:val="22"/>
        </w:rPr>
      </w:pPr>
    </w:p>
    <w:p w14:paraId="34DBF716" w14:textId="5C06F3F4" w:rsidR="001D0C1E" w:rsidRDefault="001D0C1E" w:rsidP="00367BEF">
      <w:pPr>
        <w:jc w:val="both"/>
        <w:rPr>
          <w:color w:val="000000"/>
          <w:sz w:val="22"/>
          <w:szCs w:val="22"/>
        </w:rPr>
      </w:pPr>
    </w:p>
    <w:p w14:paraId="11C9AFD6" w14:textId="58972DF3" w:rsidR="00367BEF" w:rsidRDefault="00367BEF" w:rsidP="00367BEF">
      <w:pPr>
        <w:jc w:val="both"/>
        <w:rPr>
          <w:color w:val="000000"/>
          <w:sz w:val="22"/>
          <w:szCs w:val="22"/>
        </w:rPr>
      </w:pPr>
    </w:p>
    <w:p w14:paraId="3ACA988C" w14:textId="094B0176" w:rsidR="00367BEF" w:rsidRDefault="00367BEF" w:rsidP="00367BEF">
      <w:pPr>
        <w:jc w:val="both"/>
        <w:rPr>
          <w:color w:val="000000"/>
          <w:sz w:val="22"/>
          <w:szCs w:val="22"/>
        </w:rPr>
      </w:pPr>
    </w:p>
    <w:p w14:paraId="1D83D41A" w14:textId="77777777" w:rsidR="00367BEF" w:rsidRPr="00367BEF" w:rsidRDefault="00367BEF" w:rsidP="00367BEF">
      <w:pPr>
        <w:jc w:val="both"/>
        <w:rPr>
          <w:color w:val="000000"/>
          <w:sz w:val="22"/>
          <w:szCs w:val="22"/>
        </w:rPr>
      </w:pPr>
    </w:p>
    <w:p w14:paraId="66FDD3C8" w14:textId="77777777" w:rsidR="00813304" w:rsidRPr="00367BEF" w:rsidRDefault="00813304" w:rsidP="00367BEF">
      <w:pPr>
        <w:jc w:val="both"/>
        <w:rPr>
          <w:color w:val="000000"/>
          <w:sz w:val="22"/>
          <w:szCs w:val="22"/>
        </w:rPr>
      </w:pPr>
    </w:p>
    <w:p w14:paraId="32B29346" w14:textId="77777777" w:rsidR="009E2D69" w:rsidRPr="00367BEF" w:rsidRDefault="009E2D69" w:rsidP="00367BEF">
      <w:pPr>
        <w:jc w:val="center"/>
        <w:rPr>
          <w:b/>
          <w:sz w:val="22"/>
          <w:szCs w:val="22"/>
        </w:rPr>
      </w:pPr>
      <w:r w:rsidRPr="00367BEF">
        <w:rPr>
          <w:b/>
          <w:sz w:val="22"/>
          <w:szCs w:val="22"/>
        </w:rPr>
        <w:t>RAMON WOLLINGER</w:t>
      </w:r>
    </w:p>
    <w:p w14:paraId="07C8A253" w14:textId="77777777" w:rsidR="009E2D69" w:rsidRPr="00367BEF" w:rsidRDefault="009E2D69" w:rsidP="00367BEF">
      <w:pPr>
        <w:jc w:val="center"/>
        <w:rPr>
          <w:sz w:val="22"/>
          <w:szCs w:val="22"/>
        </w:rPr>
      </w:pPr>
      <w:r w:rsidRPr="00367BEF">
        <w:rPr>
          <w:sz w:val="22"/>
          <w:szCs w:val="22"/>
        </w:rPr>
        <w:t>Prefeito Municipal</w:t>
      </w:r>
    </w:p>
    <w:p w14:paraId="136254AF" w14:textId="77777777" w:rsidR="00367BEF" w:rsidRDefault="00367BEF" w:rsidP="00367BEF">
      <w:pPr>
        <w:jc w:val="both"/>
        <w:rPr>
          <w:sz w:val="22"/>
          <w:szCs w:val="22"/>
        </w:rPr>
      </w:pPr>
    </w:p>
    <w:p w14:paraId="3DE8F6C1" w14:textId="3BCD4BE2" w:rsidR="00367BEF" w:rsidRDefault="00367BEF" w:rsidP="00367BEF">
      <w:pPr>
        <w:jc w:val="both"/>
        <w:rPr>
          <w:sz w:val="22"/>
          <w:szCs w:val="22"/>
        </w:rPr>
      </w:pPr>
    </w:p>
    <w:p w14:paraId="4DE4F4C4" w14:textId="638EF0F9" w:rsidR="00DA4466" w:rsidRDefault="00DA4466" w:rsidP="00367BEF">
      <w:pPr>
        <w:jc w:val="both"/>
        <w:rPr>
          <w:sz w:val="22"/>
          <w:szCs w:val="22"/>
        </w:rPr>
      </w:pPr>
    </w:p>
    <w:p w14:paraId="7DBF5E44" w14:textId="3190406E" w:rsidR="00DA4466" w:rsidRDefault="00DA4466" w:rsidP="00367BEF">
      <w:pPr>
        <w:jc w:val="both"/>
        <w:rPr>
          <w:sz w:val="22"/>
          <w:szCs w:val="22"/>
        </w:rPr>
      </w:pPr>
    </w:p>
    <w:p w14:paraId="06047AD4" w14:textId="77777777" w:rsidR="00DA4466" w:rsidRDefault="00DA4466" w:rsidP="00367BEF">
      <w:pPr>
        <w:jc w:val="both"/>
        <w:rPr>
          <w:sz w:val="22"/>
          <w:szCs w:val="22"/>
        </w:rPr>
      </w:pPr>
    </w:p>
    <w:p w14:paraId="09A2B373" w14:textId="3E57807C" w:rsidR="00167E80" w:rsidRPr="00367BEF" w:rsidRDefault="00167E80" w:rsidP="00367BEF">
      <w:pPr>
        <w:jc w:val="both"/>
        <w:rPr>
          <w:sz w:val="22"/>
          <w:szCs w:val="22"/>
        </w:rPr>
      </w:pPr>
      <w:proofErr w:type="spellStart"/>
      <w:proofErr w:type="gramStart"/>
      <w:r w:rsidRPr="00367BEF">
        <w:rPr>
          <w:sz w:val="22"/>
          <w:szCs w:val="22"/>
        </w:rPr>
        <w:t>Reg.publ.n</w:t>
      </w:r>
      <w:proofErr w:type="spellEnd"/>
      <w:proofErr w:type="gramEnd"/>
      <w:r w:rsidRPr="00367BEF">
        <w:rPr>
          <w:sz w:val="22"/>
          <w:szCs w:val="22"/>
        </w:rPr>
        <w:t>/data</w:t>
      </w:r>
    </w:p>
    <w:p w14:paraId="41CAFF9F" w14:textId="77777777" w:rsidR="00167E80" w:rsidRPr="00367BEF" w:rsidRDefault="00167E80" w:rsidP="00367BEF">
      <w:pPr>
        <w:jc w:val="both"/>
        <w:rPr>
          <w:sz w:val="22"/>
          <w:szCs w:val="22"/>
        </w:rPr>
      </w:pPr>
    </w:p>
    <w:p w14:paraId="23BD3D1F" w14:textId="77777777" w:rsidR="00167E80" w:rsidRPr="00367BEF" w:rsidRDefault="00167E80" w:rsidP="00367BEF">
      <w:pPr>
        <w:jc w:val="both"/>
        <w:rPr>
          <w:sz w:val="22"/>
          <w:szCs w:val="22"/>
        </w:rPr>
      </w:pPr>
      <w:r w:rsidRPr="00367BEF">
        <w:rPr>
          <w:sz w:val="22"/>
          <w:szCs w:val="22"/>
        </w:rPr>
        <w:t xml:space="preserve">Marivalde </w:t>
      </w:r>
      <w:proofErr w:type="spellStart"/>
      <w:r w:rsidRPr="00367BEF">
        <w:rPr>
          <w:sz w:val="22"/>
          <w:szCs w:val="22"/>
        </w:rPr>
        <w:t>Inêz</w:t>
      </w:r>
      <w:proofErr w:type="spellEnd"/>
      <w:r w:rsidRPr="00367BEF">
        <w:rPr>
          <w:sz w:val="22"/>
          <w:szCs w:val="22"/>
        </w:rPr>
        <w:t xml:space="preserve"> Kons</w:t>
      </w:r>
    </w:p>
    <w:p w14:paraId="2DDE973E" w14:textId="77777777" w:rsidR="00167E80" w:rsidRPr="00367BEF" w:rsidRDefault="00167E80" w:rsidP="00367BEF">
      <w:pPr>
        <w:jc w:val="both"/>
        <w:rPr>
          <w:sz w:val="22"/>
          <w:szCs w:val="22"/>
        </w:rPr>
      </w:pPr>
      <w:r w:rsidRPr="00367BEF">
        <w:rPr>
          <w:sz w:val="22"/>
          <w:szCs w:val="22"/>
        </w:rPr>
        <w:t>Diretoria Executiva de Legislação</w:t>
      </w:r>
    </w:p>
    <w:p w14:paraId="4F5CFC37" w14:textId="77777777" w:rsidR="001A5542" w:rsidRPr="00367BEF" w:rsidRDefault="00167E80" w:rsidP="00367BEF">
      <w:pPr>
        <w:jc w:val="both"/>
        <w:rPr>
          <w:sz w:val="22"/>
          <w:szCs w:val="22"/>
        </w:rPr>
      </w:pPr>
      <w:r w:rsidRPr="00367BEF">
        <w:rPr>
          <w:sz w:val="22"/>
          <w:szCs w:val="22"/>
        </w:rPr>
        <w:t xml:space="preserve">         </w:t>
      </w:r>
      <w:proofErr w:type="gramStart"/>
      <w:r w:rsidRPr="00367BEF">
        <w:rPr>
          <w:sz w:val="22"/>
          <w:szCs w:val="22"/>
        </w:rPr>
        <w:t>e Expediente</w:t>
      </w:r>
      <w:proofErr w:type="gramEnd"/>
      <w:r w:rsidRPr="00367BEF">
        <w:rPr>
          <w:sz w:val="22"/>
          <w:szCs w:val="22"/>
        </w:rPr>
        <w:t xml:space="preserve">   </w:t>
      </w:r>
      <w:r w:rsidR="00824774" w:rsidRPr="00367BEF">
        <w:rPr>
          <w:sz w:val="22"/>
          <w:szCs w:val="22"/>
        </w:rPr>
        <w:t xml:space="preserve"> </w:t>
      </w:r>
    </w:p>
    <w:sectPr w:rsidR="001A5542" w:rsidRPr="00367BEF" w:rsidSect="006D0401">
      <w:headerReference w:type="default" r:id="rId7"/>
      <w:footerReference w:type="default" r:id="rId8"/>
      <w:pgSz w:w="11906" w:h="16838"/>
      <w:pgMar w:top="1135" w:right="849" w:bottom="113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BB007" w14:textId="77777777" w:rsidR="0053301E" w:rsidRDefault="0053301E" w:rsidP="00783668">
      <w:r>
        <w:separator/>
      </w:r>
    </w:p>
  </w:endnote>
  <w:endnote w:type="continuationSeparator" w:id="0">
    <w:p w14:paraId="524C7457" w14:textId="77777777" w:rsidR="0053301E" w:rsidRDefault="0053301E" w:rsidP="0078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05777" w14:textId="32F4C395" w:rsidR="006921FB" w:rsidRPr="00131173" w:rsidRDefault="008F640C">
    <w:pPr>
      <w:pStyle w:val="Rodap"/>
    </w:pPr>
    <w:r>
      <w:rPr>
        <w:noProof/>
        <w:lang w:eastAsia="pt-BR"/>
      </w:rPr>
      <mc:AlternateContent>
        <mc:Choice Requires="wps">
          <w:drawing>
            <wp:anchor distT="45720" distB="45720" distL="114300" distR="114300" simplePos="0" relativeHeight="251663360" behindDoc="0" locked="0" layoutInCell="1" allowOverlap="1" wp14:anchorId="545A466A" wp14:editId="2DBC7C2E">
              <wp:simplePos x="0" y="0"/>
              <wp:positionH relativeFrom="column">
                <wp:posOffset>4118610</wp:posOffset>
              </wp:positionH>
              <wp:positionV relativeFrom="paragraph">
                <wp:posOffset>61595</wp:posOffset>
              </wp:positionV>
              <wp:extent cx="2319655" cy="1219835"/>
              <wp:effectExtent l="0" t="0" r="0"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219835"/>
                      </a:xfrm>
                      <a:prstGeom prst="rect">
                        <a:avLst/>
                      </a:prstGeom>
                      <a:solidFill>
                        <a:srgbClr val="FFFFFF"/>
                      </a:solidFill>
                      <a:ln w="9525">
                        <a:noFill/>
                        <a:miter lim="800000"/>
                        <a:headEnd/>
                        <a:tailEnd/>
                      </a:ln>
                    </wps:spPr>
                    <wps:txbx>
                      <w:txbxContent>
                        <w:p w14:paraId="17551213" w14:textId="77777777" w:rsidR="00783668" w:rsidRDefault="00783668" w:rsidP="00783668">
                          <w:pPr>
                            <w:jc w:val="right"/>
                          </w:pPr>
                          <w:r>
                            <w:rPr>
                              <w:noProof/>
                            </w:rPr>
                            <w:drawing>
                              <wp:inline distT="0" distB="0" distL="0" distR="0" wp14:anchorId="2CAFA656" wp14:editId="698CF340">
                                <wp:extent cx="1668247" cy="846441"/>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
                                          <a:extLst>
                                            <a:ext uri="{28A0092B-C50C-407E-A947-70E740481C1C}">
                                              <a14:useLocalDpi xmlns:a14="http://schemas.microsoft.com/office/drawing/2010/main" val="0"/>
                                            </a:ext>
                                          </a:extLst>
                                        </a:blip>
                                        <a:stretch>
                                          <a:fillRect/>
                                        </a:stretch>
                                      </pic:blipFill>
                                      <pic:spPr>
                                        <a:xfrm>
                                          <a:off x="0" y="0"/>
                                          <a:ext cx="1707455" cy="8663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5A466A" id="_x0000_t202" coordsize="21600,21600" o:spt="202" path="m,l,21600r21600,l21600,xe">
              <v:stroke joinstyle="miter"/>
              <v:path gradientshapeok="t" o:connecttype="rect"/>
            </v:shapetype>
            <v:shape id="_x0000_s1028" type="#_x0000_t202" style="position:absolute;margin-left:324.3pt;margin-top:4.85pt;width:182.65pt;height:96.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" stroked="f">
              <v:textbox>
                <w:txbxContent>
                  <w:p w14:paraId="17551213" w14:textId="77777777" w:rsidR="00783668" w:rsidRDefault="00783668" w:rsidP="00783668">
                    <w:pPr>
                      <w:jc w:val="right"/>
                    </w:pPr>
                    <w:r>
                      <w:rPr>
                        <w:noProof/>
                      </w:rPr>
                      <w:drawing>
                        <wp:inline distT="0" distB="0" distL="0" distR="0" wp14:anchorId="2CAFA656" wp14:editId="698CF340">
                          <wp:extent cx="1668247" cy="846441"/>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
                                    <a:extLst>
                                      <a:ext uri="{28A0092B-C50C-407E-A947-70E740481C1C}">
                                        <a14:useLocalDpi xmlns:a14="http://schemas.microsoft.com/office/drawing/2010/main" val="0"/>
                                      </a:ext>
                                    </a:extLst>
                                  </a:blip>
                                  <a:stretch>
                                    <a:fillRect/>
                                  </a:stretch>
                                </pic:blipFill>
                                <pic:spPr>
                                  <a:xfrm>
                                    <a:off x="0" y="0"/>
                                    <a:ext cx="1707455" cy="866335"/>
                                  </a:xfrm>
                                  <a:prstGeom prst="rect">
                                    <a:avLst/>
                                  </a:prstGeom>
                                </pic:spPr>
                              </pic:pic>
                            </a:graphicData>
                          </a:graphic>
                        </wp:inline>
                      </w:drawing>
                    </w:r>
                  </w:p>
                </w:txbxContent>
              </v:textbox>
              <w10:wrap type="square"/>
            </v:shape>
          </w:pict>
        </mc:Fallback>
      </mc:AlternateContent>
    </w:r>
    <w:r w:rsidR="006921FB" w:rsidRPr="00131173">
      <w:t xml:space="preserve"> </w:t>
    </w:r>
  </w:p>
  <w:p w14:paraId="44882FD8" w14:textId="77777777" w:rsidR="00783668" w:rsidRDefault="0078366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4A9E4" w14:textId="77777777" w:rsidR="0053301E" w:rsidRDefault="0053301E" w:rsidP="00783668">
      <w:r>
        <w:separator/>
      </w:r>
    </w:p>
  </w:footnote>
  <w:footnote w:type="continuationSeparator" w:id="0">
    <w:p w14:paraId="55A0B7E6" w14:textId="77777777" w:rsidR="0053301E" w:rsidRDefault="0053301E" w:rsidP="00783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C1B02" w14:textId="760A7034" w:rsidR="006921FB" w:rsidRDefault="008F640C" w:rsidP="006921FB">
    <w:pPr>
      <w:pStyle w:val="Cabealho"/>
    </w:pPr>
    <w:r>
      <w:rPr>
        <w:noProof/>
        <w:lang w:eastAsia="pt-BR"/>
      </w:rPr>
      <mc:AlternateContent>
        <mc:Choice Requires="wps">
          <w:drawing>
            <wp:anchor distT="45720" distB="45720" distL="114300" distR="114300" simplePos="0" relativeHeight="251661312" behindDoc="0" locked="0" layoutInCell="1" allowOverlap="1" wp14:anchorId="093516FD" wp14:editId="4DB00DB3">
              <wp:simplePos x="0" y="0"/>
              <wp:positionH relativeFrom="margin">
                <wp:align>center</wp:align>
              </wp:positionH>
              <wp:positionV relativeFrom="paragraph">
                <wp:posOffset>-230505</wp:posOffset>
              </wp:positionV>
              <wp:extent cx="2495550" cy="561975"/>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61975"/>
                      </a:xfrm>
                      <a:prstGeom prst="rect">
                        <a:avLst/>
                      </a:prstGeom>
                      <a:solidFill>
                        <a:srgbClr val="FFFFFF"/>
                      </a:solidFill>
                      <a:ln w="9525">
                        <a:noFill/>
                        <a:miter lim="800000"/>
                        <a:headEnd/>
                        <a:tailEnd/>
                      </a:ln>
                    </wps:spPr>
                    <wps:txbx>
                      <w:txbxContent>
                        <w:p w14:paraId="264C2DF2" w14:textId="77777777" w:rsidR="00783668" w:rsidRDefault="00783668" w:rsidP="00783668">
                          <w:pPr>
                            <w:jc w:val="center"/>
                          </w:pPr>
                          <w:r>
                            <w:rPr>
                              <w:noProof/>
                            </w:rPr>
                            <w:drawing>
                              <wp:inline distT="0" distB="0" distL="0" distR="0" wp14:anchorId="7FB18A03" wp14:editId="590894B1">
                                <wp:extent cx="1881505" cy="461645"/>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Horinzontal.png"/>
                                        <pic:cNvPicPr/>
                                      </pic:nvPicPr>
                                      <pic:blipFill>
                                        <a:blip r:embed="rId1">
                                          <a:extLst>
                                            <a:ext uri="{28A0092B-C50C-407E-A947-70E740481C1C}">
                                              <a14:useLocalDpi xmlns:a14="http://schemas.microsoft.com/office/drawing/2010/main" val="0"/>
                                            </a:ext>
                                          </a:extLst>
                                        </a:blip>
                                        <a:stretch>
                                          <a:fillRect/>
                                        </a:stretch>
                                      </pic:blipFill>
                                      <pic:spPr>
                                        <a:xfrm>
                                          <a:off x="0" y="0"/>
                                          <a:ext cx="1881505" cy="461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516FD" id="_x0000_t202" coordsize="21600,21600" o:spt="202" path="m,l,21600r21600,l21600,xe">
              <v:stroke joinstyle="miter"/>
              <v:path gradientshapeok="t" o:connecttype="rect"/>
            </v:shapetype>
            <v:shape id="Caixa de Texto 2" o:spid="_x0000_s1026" type="#_x0000_t202" style="position:absolute;margin-left:0;margin-top:-18.15pt;width:196.5pt;height:44.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" stroked="f">
              <v:textbox>
                <w:txbxContent>
                  <w:p w14:paraId="264C2DF2" w14:textId="77777777" w:rsidR="00783668" w:rsidRDefault="00783668" w:rsidP="00783668">
                    <w:pPr>
                      <w:jc w:val="center"/>
                    </w:pPr>
                    <w:r>
                      <w:rPr>
                        <w:noProof/>
                      </w:rPr>
                      <w:drawing>
                        <wp:inline distT="0" distB="0" distL="0" distR="0" wp14:anchorId="7FB18A03" wp14:editId="590894B1">
                          <wp:extent cx="1881505" cy="461645"/>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Horinzontal.png"/>
                                  <pic:cNvPicPr/>
                                </pic:nvPicPr>
                                <pic:blipFill>
                                  <a:blip r:embed="rId1">
                                    <a:extLst>
                                      <a:ext uri="{28A0092B-C50C-407E-A947-70E740481C1C}">
                                        <a14:useLocalDpi xmlns:a14="http://schemas.microsoft.com/office/drawing/2010/main" val="0"/>
                                      </a:ext>
                                    </a:extLst>
                                  </a:blip>
                                  <a:stretch>
                                    <a:fillRect/>
                                  </a:stretch>
                                </pic:blipFill>
                                <pic:spPr>
                                  <a:xfrm>
                                    <a:off x="0" y="0"/>
                                    <a:ext cx="1881505" cy="461645"/>
                                  </a:xfrm>
                                  <a:prstGeom prst="rect">
                                    <a:avLst/>
                                  </a:prstGeom>
                                </pic:spPr>
                              </pic:pic>
                            </a:graphicData>
                          </a:graphic>
                        </wp:inline>
                      </w:drawing>
                    </w:r>
                  </w:p>
                </w:txbxContent>
              </v:textbox>
              <w10:wrap type="square" anchorx="margin"/>
            </v:shape>
          </w:pict>
        </mc:Fallback>
      </mc:AlternateContent>
    </w:r>
    <w:r>
      <w:rPr>
        <w:noProof/>
        <w:lang w:eastAsia="pt-BR"/>
      </w:rPr>
      <mc:AlternateContent>
        <mc:Choice Requires="wps">
          <w:drawing>
            <wp:anchor distT="45720" distB="45720" distL="114300" distR="114300" simplePos="0" relativeHeight="251659264" behindDoc="0" locked="0" layoutInCell="1" allowOverlap="1" wp14:anchorId="54BF923E" wp14:editId="1F5E297F">
              <wp:simplePos x="0" y="0"/>
              <wp:positionH relativeFrom="page">
                <wp:align>left</wp:align>
              </wp:positionH>
              <wp:positionV relativeFrom="paragraph">
                <wp:posOffset>-449580</wp:posOffset>
              </wp:positionV>
              <wp:extent cx="2376170" cy="8953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895350"/>
                      </a:xfrm>
                      <a:prstGeom prst="rect">
                        <a:avLst/>
                      </a:prstGeom>
                      <a:solidFill>
                        <a:srgbClr val="FFFFFF"/>
                      </a:solidFill>
                      <a:ln w="9525">
                        <a:noFill/>
                        <a:miter lim="800000"/>
                        <a:headEnd/>
                        <a:tailEnd/>
                      </a:ln>
                    </wps:spPr>
                    <wps:txbx>
                      <w:txbxContent>
                        <w:p w14:paraId="25805C82" w14:textId="77777777" w:rsidR="00783668" w:rsidRPr="00783668" w:rsidRDefault="00783668">
                          <w:r w:rsidRPr="00783668">
                            <w:rPr>
                              <w:noProof/>
                            </w:rPr>
                            <w:drawing>
                              <wp:inline distT="0" distB="0" distL="0" distR="0" wp14:anchorId="393D3107" wp14:editId="7B8EB481">
                                <wp:extent cx="1381125" cy="830601"/>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
                                          <a:extLst>
                                            <a:ext uri="{28A0092B-C50C-407E-A947-70E740481C1C}">
                                              <a14:useLocalDpi xmlns:a14="http://schemas.microsoft.com/office/drawing/2010/main" val="0"/>
                                            </a:ext>
                                          </a:extLst>
                                        </a:blip>
                                        <a:stretch>
                                          <a:fillRect/>
                                        </a:stretch>
                                      </pic:blipFill>
                                      <pic:spPr>
                                        <a:xfrm>
                                          <a:off x="0" y="0"/>
                                          <a:ext cx="1381125" cy="8306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BF923E" id="_x0000_s1027" type="#_x0000_t202" style="position:absolute;margin-left:0;margin-top:-35.4pt;width:187.1pt;height:70.5pt;z-index:251659264;visibility:visible;mso-wrap-style:square;mso-width-percent:400;mso-height-percent:0;mso-wrap-distance-left:9pt;mso-wrap-distance-top:3.6pt;mso-wrap-distance-right:9pt;mso-wrap-distance-bottom:3.6pt;mso-position-horizontal:lef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" stroked="f">
              <v:textbox>
                <w:txbxContent>
                  <w:p w14:paraId="25805C82" w14:textId="77777777" w:rsidR="00783668" w:rsidRPr="00783668" w:rsidRDefault="00783668">
                    <w:r w:rsidRPr="00783668">
                      <w:rPr>
                        <w:noProof/>
                      </w:rPr>
                      <w:drawing>
                        <wp:inline distT="0" distB="0" distL="0" distR="0" wp14:anchorId="393D3107" wp14:editId="7B8EB481">
                          <wp:extent cx="1381125" cy="830601"/>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
                                    <a:extLst>
                                      <a:ext uri="{28A0092B-C50C-407E-A947-70E740481C1C}">
                                        <a14:useLocalDpi xmlns:a14="http://schemas.microsoft.com/office/drawing/2010/main" val="0"/>
                                      </a:ext>
                                    </a:extLst>
                                  </a:blip>
                                  <a:stretch>
                                    <a:fillRect/>
                                  </a:stretch>
                                </pic:blipFill>
                                <pic:spPr>
                                  <a:xfrm>
                                    <a:off x="0" y="0"/>
                                    <a:ext cx="1381125" cy="830601"/>
                                  </a:xfrm>
                                  <a:prstGeom prst="rect">
                                    <a:avLst/>
                                  </a:prstGeom>
                                </pic:spPr>
                              </pic:pic>
                            </a:graphicData>
                          </a:graphic>
                        </wp:inline>
                      </w:drawing>
                    </w:r>
                  </w:p>
                </w:txbxContent>
              </v:textbox>
              <w10:wrap type="square" anchorx="page"/>
            </v:shape>
          </w:pict>
        </mc:Fallback>
      </mc:AlternateContent>
    </w:r>
  </w:p>
  <w:p w14:paraId="5F4504ED" w14:textId="77777777" w:rsidR="006921FB" w:rsidRDefault="006921FB" w:rsidP="006921FB">
    <w:pPr>
      <w:pStyle w:val="Cabealho"/>
    </w:pPr>
  </w:p>
  <w:p w14:paraId="75DAD2D5" w14:textId="77777777" w:rsidR="006921FB" w:rsidRDefault="006921FB" w:rsidP="006921FB">
    <w:pPr>
      <w:pStyle w:val="Cabealho"/>
    </w:pPr>
  </w:p>
  <w:p w14:paraId="66D7344E" w14:textId="77777777" w:rsidR="006921FB" w:rsidRPr="008D2CEC" w:rsidRDefault="00A360AB" w:rsidP="006921FB">
    <w:pPr>
      <w:pStyle w:val="Cabealho"/>
      <w:jc w:val="center"/>
      <w:rPr>
        <w:sz w:val="24"/>
        <w:szCs w:val="24"/>
      </w:rPr>
    </w:pPr>
    <w:r>
      <w:rPr>
        <w:sz w:val="24"/>
        <w:szCs w:val="24"/>
      </w:rPr>
      <w:t>GABINETE DO PREFEITO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E0F26"/>
    <w:multiLevelType w:val="hybridMultilevel"/>
    <w:tmpl w:val="66D464F4"/>
    <w:lvl w:ilvl="0" w:tplc="0416000F">
      <w:start w:val="1"/>
      <w:numFmt w:val="decimal"/>
      <w:lvlText w:val="%1."/>
      <w:lvlJc w:val="left"/>
      <w:pPr>
        <w:ind w:left="720" w:hanging="360"/>
      </w:pPr>
      <w:rPr>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B7668A4"/>
    <w:multiLevelType w:val="hybridMultilevel"/>
    <w:tmpl w:val="C59451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11D14DF"/>
    <w:multiLevelType w:val="hybridMultilevel"/>
    <w:tmpl w:val="279A9266"/>
    <w:lvl w:ilvl="0" w:tplc="65FCD904">
      <w:start w:val="1"/>
      <w:numFmt w:val="decimalZero"/>
      <w:lvlText w:val="%1."/>
      <w:lvlJc w:val="left"/>
      <w:pPr>
        <w:ind w:left="720" w:hanging="360"/>
      </w:pPr>
      <w:rPr>
        <w:b/>
        <w:sz w:val="22"/>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2CDF31C8"/>
    <w:multiLevelType w:val="hybridMultilevel"/>
    <w:tmpl w:val="ADA40CF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355D7246"/>
    <w:multiLevelType w:val="hybridMultilevel"/>
    <w:tmpl w:val="684CBFA6"/>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15:restartNumberingAfterBreak="0">
    <w:nsid w:val="3F9573A7"/>
    <w:multiLevelType w:val="hybridMultilevel"/>
    <w:tmpl w:val="61CAEA24"/>
    <w:lvl w:ilvl="0" w:tplc="FB126C18">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4F32795C"/>
    <w:multiLevelType w:val="hybridMultilevel"/>
    <w:tmpl w:val="94C6DF7E"/>
    <w:lvl w:ilvl="0" w:tplc="3EEEBD5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DFC18A2"/>
    <w:multiLevelType w:val="hybridMultilevel"/>
    <w:tmpl w:val="95242042"/>
    <w:lvl w:ilvl="0" w:tplc="3E024766">
      <w:start w:val="1"/>
      <w:numFmt w:val="decimal"/>
      <w:lvlText w:val="%1)"/>
      <w:lvlJc w:val="left"/>
      <w:pPr>
        <w:ind w:left="927" w:hanging="360"/>
      </w:p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num w:numId="1">
    <w:abstractNumId w:val="1"/>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pt-BR" w:vendorID="64" w:dllVersion="4096" w:nlCheck="1" w:checkStyle="0"/>
  <w:proofState w:spelling="clean" w:grammar="clean"/>
  <w:defaultTabStop w:val="709"/>
  <w:hyphenationZone w:val="425"/>
  <w:characterSpacingControl w:val="doNotCompress"/>
  <w:hdrShapeDefaults>
    <o:shapedefaults v:ext="edit" spidmax="411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668"/>
    <w:rsid w:val="0001107B"/>
    <w:rsid w:val="00014712"/>
    <w:rsid w:val="00015CEE"/>
    <w:rsid w:val="00015F3A"/>
    <w:rsid w:val="0001614A"/>
    <w:rsid w:val="0002362A"/>
    <w:rsid w:val="00024477"/>
    <w:rsid w:val="00030EEE"/>
    <w:rsid w:val="000314EC"/>
    <w:rsid w:val="00036D83"/>
    <w:rsid w:val="00037890"/>
    <w:rsid w:val="00044E30"/>
    <w:rsid w:val="000532F0"/>
    <w:rsid w:val="00055C13"/>
    <w:rsid w:val="00066E4A"/>
    <w:rsid w:val="0007291E"/>
    <w:rsid w:val="00082891"/>
    <w:rsid w:val="000837B6"/>
    <w:rsid w:val="00084E37"/>
    <w:rsid w:val="00087039"/>
    <w:rsid w:val="0008768B"/>
    <w:rsid w:val="000876BD"/>
    <w:rsid w:val="00096FEA"/>
    <w:rsid w:val="000A3930"/>
    <w:rsid w:val="000A39E4"/>
    <w:rsid w:val="000A3FA6"/>
    <w:rsid w:val="000B4524"/>
    <w:rsid w:val="000B463A"/>
    <w:rsid w:val="000C038F"/>
    <w:rsid w:val="000C0F18"/>
    <w:rsid w:val="000C38EB"/>
    <w:rsid w:val="000D21F3"/>
    <w:rsid w:val="000D5417"/>
    <w:rsid w:val="000D6376"/>
    <w:rsid w:val="000E1897"/>
    <w:rsid w:val="000E38F5"/>
    <w:rsid w:val="000E3FC5"/>
    <w:rsid w:val="000E4864"/>
    <w:rsid w:val="000E6A71"/>
    <w:rsid w:val="000F013F"/>
    <w:rsid w:val="000F2D7C"/>
    <w:rsid w:val="000F5853"/>
    <w:rsid w:val="000F65AD"/>
    <w:rsid w:val="00102B84"/>
    <w:rsid w:val="001121FA"/>
    <w:rsid w:val="00112FC9"/>
    <w:rsid w:val="00121289"/>
    <w:rsid w:val="001218C2"/>
    <w:rsid w:val="00130C4D"/>
    <w:rsid w:val="00131173"/>
    <w:rsid w:val="0013466B"/>
    <w:rsid w:val="001410F7"/>
    <w:rsid w:val="00142B01"/>
    <w:rsid w:val="00143968"/>
    <w:rsid w:val="001439C7"/>
    <w:rsid w:val="00146D96"/>
    <w:rsid w:val="0015237D"/>
    <w:rsid w:val="0016474D"/>
    <w:rsid w:val="001651CB"/>
    <w:rsid w:val="001676B9"/>
    <w:rsid w:val="00167E80"/>
    <w:rsid w:val="00171878"/>
    <w:rsid w:val="00181C8D"/>
    <w:rsid w:val="00191BC1"/>
    <w:rsid w:val="00192002"/>
    <w:rsid w:val="0019357A"/>
    <w:rsid w:val="0019510A"/>
    <w:rsid w:val="00196C1C"/>
    <w:rsid w:val="001A0AD2"/>
    <w:rsid w:val="001A3771"/>
    <w:rsid w:val="001A5542"/>
    <w:rsid w:val="001A725A"/>
    <w:rsid w:val="001B143A"/>
    <w:rsid w:val="001B35C7"/>
    <w:rsid w:val="001B3798"/>
    <w:rsid w:val="001B571D"/>
    <w:rsid w:val="001C3C70"/>
    <w:rsid w:val="001C66E4"/>
    <w:rsid w:val="001C7735"/>
    <w:rsid w:val="001D0C1E"/>
    <w:rsid w:val="001D5307"/>
    <w:rsid w:val="001E0640"/>
    <w:rsid w:val="001E5C65"/>
    <w:rsid w:val="001E6A90"/>
    <w:rsid w:val="001E6E03"/>
    <w:rsid w:val="001F1A7C"/>
    <w:rsid w:val="00200B97"/>
    <w:rsid w:val="00201861"/>
    <w:rsid w:val="00202CFE"/>
    <w:rsid w:val="00203CCC"/>
    <w:rsid w:val="002120C1"/>
    <w:rsid w:val="00216B64"/>
    <w:rsid w:val="00223114"/>
    <w:rsid w:val="002256DA"/>
    <w:rsid w:val="00227038"/>
    <w:rsid w:val="00233126"/>
    <w:rsid w:val="00233934"/>
    <w:rsid w:val="00245B12"/>
    <w:rsid w:val="0024748E"/>
    <w:rsid w:val="0025373F"/>
    <w:rsid w:val="0025738B"/>
    <w:rsid w:val="00264AE6"/>
    <w:rsid w:val="00267495"/>
    <w:rsid w:val="00270C87"/>
    <w:rsid w:val="00271689"/>
    <w:rsid w:val="00276240"/>
    <w:rsid w:val="00286985"/>
    <w:rsid w:val="00287060"/>
    <w:rsid w:val="002958C4"/>
    <w:rsid w:val="002A0920"/>
    <w:rsid w:val="002A0DF9"/>
    <w:rsid w:val="002A1A18"/>
    <w:rsid w:val="002A36A4"/>
    <w:rsid w:val="002A55AE"/>
    <w:rsid w:val="002A5A11"/>
    <w:rsid w:val="002A7D57"/>
    <w:rsid w:val="002B5A78"/>
    <w:rsid w:val="002B5E7C"/>
    <w:rsid w:val="002B6F14"/>
    <w:rsid w:val="002C02A8"/>
    <w:rsid w:val="002C2FD4"/>
    <w:rsid w:val="002C36AF"/>
    <w:rsid w:val="002C447B"/>
    <w:rsid w:val="002D1F92"/>
    <w:rsid w:val="002D4132"/>
    <w:rsid w:val="002D457B"/>
    <w:rsid w:val="002D59AB"/>
    <w:rsid w:val="002E51DC"/>
    <w:rsid w:val="002E6B8E"/>
    <w:rsid w:val="002F0A0F"/>
    <w:rsid w:val="002F1A85"/>
    <w:rsid w:val="002F43DF"/>
    <w:rsid w:val="0030002E"/>
    <w:rsid w:val="003030F8"/>
    <w:rsid w:val="0030578B"/>
    <w:rsid w:val="00305B13"/>
    <w:rsid w:val="00305DBA"/>
    <w:rsid w:val="003066B0"/>
    <w:rsid w:val="00310814"/>
    <w:rsid w:val="00316156"/>
    <w:rsid w:val="00316856"/>
    <w:rsid w:val="00332CBD"/>
    <w:rsid w:val="003352A5"/>
    <w:rsid w:val="0034491B"/>
    <w:rsid w:val="00344B07"/>
    <w:rsid w:val="00344D7C"/>
    <w:rsid w:val="00347BC5"/>
    <w:rsid w:val="00353068"/>
    <w:rsid w:val="00361F5D"/>
    <w:rsid w:val="003626BC"/>
    <w:rsid w:val="00366771"/>
    <w:rsid w:val="003669A9"/>
    <w:rsid w:val="0036759D"/>
    <w:rsid w:val="00367A0E"/>
    <w:rsid w:val="00367BEF"/>
    <w:rsid w:val="00370163"/>
    <w:rsid w:val="00375370"/>
    <w:rsid w:val="0037548B"/>
    <w:rsid w:val="00375D98"/>
    <w:rsid w:val="0037657F"/>
    <w:rsid w:val="00380BE4"/>
    <w:rsid w:val="003823FA"/>
    <w:rsid w:val="003844ED"/>
    <w:rsid w:val="0038576D"/>
    <w:rsid w:val="0038696A"/>
    <w:rsid w:val="00386E9E"/>
    <w:rsid w:val="00387400"/>
    <w:rsid w:val="0039105C"/>
    <w:rsid w:val="00395D46"/>
    <w:rsid w:val="00397E41"/>
    <w:rsid w:val="003A0969"/>
    <w:rsid w:val="003A1569"/>
    <w:rsid w:val="003A1F7A"/>
    <w:rsid w:val="003A34AE"/>
    <w:rsid w:val="003A73A4"/>
    <w:rsid w:val="003A7E93"/>
    <w:rsid w:val="003B0AF5"/>
    <w:rsid w:val="003B67D7"/>
    <w:rsid w:val="003C0350"/>
    <w:rsid w:val="003C4310"/>
    <w:rsid w:val="003D2058"/>
    <w:rsid w:val="003D7B86"/>
    <w:rsid w:val="003E5A9D"/>
    <w:rsid w:val="003F5F50"/>
    <w:rsid w:val="003F704D"/>
    <w:rsid w:val="00404544"/>
    <w:rsid w:val="0040578A"/>
    <w:rsid w:val="00405F1E"/>
    <w:rsid w:val="004157C6"/>
    <w:rsid w:val="0041606C"/>
    <w:rsid w:val="004213CF"/>
    <w:rsid w:val="0042300B"/>
    <w:rsid w:val="00424E4D"/>
    <w:rsid w:val="00426B87"/>
    <w:rsid w:val="004323F8"/>
    <w:rsid w:val="00433503"/>
    <w:rsid w:val="004336AF"/>
    <w:rsid w:val="00433A22"/>
    <w:rsid w:val="00436798"/>
    <w:rsid w:val="00443608"/>
    <w:rsid w:val="004502F5"/>
    <w:rsid w:val="00451926"/>
    <w:rsid w:val="00452C78"/>
    <w:rsid w:val="004549E7"/>
    <w:rsid w:val="00463B9C"/>
    <w:rsid w:val="00486F44"/>
    <w:rsid w:val="004871AA"/>
    <w:rsid w:val="004942C6"/>
    <w:rsid w:val="0049500C"/>
    <w:rsid w:val="0049688A"/>
    <w:rsid w:val="00496FEE"/>
    <w:rsid w:val="004A27F3"/>
    <w:rsid w:val="004A305C"/>
    <w:rsid w:val="004A41F6"/>
    <w:rsid w:val="004A49A2"/>
    <w:rsid w:val="004B6CA5"/>
    <w:rsid w:val="004C3BF3"/>
    <w:rsid w:val="004C5A47"/>
    <w:rsid w:val="004C6EEC"/>
    <w:rsid w:val="004D535B"/>
    <w:rsid w:val="004E2242"/>
    <w:rsid w:val="004E266A"/>
    <w:rsid w:val="004F728B"/>
    <w:rsid w:val="0050048C"/>
    <w:rsid w:val="00501328"/>
    <w:rsid w:val="0050292E"/>
    <w:rsid w:val="00504203"/>
    <w:rsid w:val="00515B98"/>
    <w:rsid w:val="00523330"/>
    <w:rsid w:val="0052388A"/>
    <w:rsid w:val="0052419D"/>
    <w:rsid w:val="00525B8E"/>
    <w:rsid w:val="005273C1"/>
    <w:rsid w:val="0053301E"/>
    <w:rsid w:val="00544A59"/>
    <w:rsid w:val="005476C6"/>
    <w:rsid w:val="005500D9"/>
    <w:rsid w:val="00552803"/>
    <w:rsid w:val="00552C50"/>
    <w:rsid w:val="00555976"/>
    <w:rsid w:val="005565B2"/>
    <w:rsid w:val="005578D7"/>
    <w:rsid w:val="00564915"/>
    <w:rsid w:val="00566B5B"/>
    <w:rsid w:val="00570A63"/>
    <w:rsid w:val="005713D7"/>
    <w:rsid w:val="0057146C"/>
    <w:rsid w:val="00573B39"/>
    <w:rsid w:val="00575F68"/>
    <w:rsid w:val="00576A92"/>
    <w:rsid w:val="00583B1C"/>
    <w:rsid w:val="00583BD3"/>
    <w:rsid w:val="00587257"/>
    <w:rsid w:val="00594B30"/>
    <w:rsid w:val="00595530"/>
    <w:rsid w:val="005A30A8"/>
    <w:rsid w:val="005B1953"/>
    <w:rsid w:val="005B2486"/>
    <w:rsid w:val="005B35EC"/>
    <w:rsid w:val="005B518E"/>
    <w:rsid w:val="005B7416"/>
    <w:rsid w:val="005C3AAE"/>
    <w:rsid w:val="005C7DF5"/>
    <w:rsid w:val="005D1512"/>
    <w:rsid w:val="005D3395"/>
    <w:rsid w:val="005D3BDD"/>
    <w:rsid w:val="005D3E00"/>
    <w:rsid w:val="005D409C"/>
    <w:rsid w:val="005D4ADE"/>
    <w:rsid w:val="005D6E83"/>
    <w:rsid w:val="005E3163"/>
    <w:rsid w:val="005F27AC"/>
    <w:rsid w:val="00601D68"/>
    <w:rsid w:val="0060519B"/>
    <w:rsid w:val="0061370B"/>
    <w:rsid w:val="00615BF6"/>
    <w:rsid w:val="006223CC"/>
    <w:rsid w:val="006262AA"/>
    <w:rsid w:val="0063364D"/>
    <w:rsid w:val="0063749E"/>
    <w:rsid w:val="00641220"/>
    <w:rsid w:val="0064129C"/>
    <w:rsid w:val="006413EF"/>
    <w:rsid w:val="006424ED"/>
    <w:rsid w:val="0064609F"/>
    <w:rsid w:val="00647A2C"/>
    <w:rsid w:val="006512EB"/>
    <w:rsid w:val="00652012"/>
    <w:rsid w:val="006538A1"/>
    <w:rsid w:val="006569D9"/>
    <w:rsid w:val="00675424"/>
    <w:rsid w:val="00676115"/>
    <w:rsid w:val="00676CAF"/>
    <w:rsid w:val="00680053"/>
    <w:rsid w:val="006802F1"/>
    <w:rsid w:val="006846AA"/>
    <w:rsid w:val="00684E8F"/>
    <w:rsid w:val="006921FB"/>
    <w:rsid w:val="00694E99"/>
    <w:rsid w:val="00697EED"/>
    <w:rsid w:val="006A1A33"/>
    <w:rsid w:val="006A3960"/>
    <w:rsid w:val="006A4952"/>
    <w:rsid w:val="006A4B84"/>
    <w:rsid w:val="006B2EDC"/>
    <w:rsid w:val="006B34DC"/>
    <w:rsid w:val="006B7292"/>
    <w:rsid w:val="006B7CD4"/>
    <w:rsid w:val="006C52FB"/>
    <w:rsid w:val="006D0401"/>
    <w:rsid w:val="006D10F7"/>
    <w:rsid w:val="006D72DF"/>
    <w:rsid w:val="006D775C"/>
    <w:rsid w:val="006E4394"/>
    <w:rsid w:val="006E5FCB"/>
    <w:rsid w:val="006E7CCD"/>
    <w:rsid w:val="006E7DAA"/>
    <w:rsid w:val="006F58F2"/>
    <w:rsid w:val="006F734D"/>
    <w:rsid w:val="006F74F5"/>
    <w:rsid w:val="006F7541"/>
    <w:rsid w:val="006F75DB"/>
    <w:rsid w:val="0070464B"/>
    <w:rsid w:val="00711D8B"/>
    <w:rsid w:val="007129F8"/>
    <w:rsid w:val="00716462"/>
    <w:rsid w:val="00721900"/>
    <w:rsid w:val="007266B0"/>
    <w:rsid w:val="00727158"/>
    <w:rsid w:val="00730222"/>
    <w:rsid w:val="00730B7A"/>
    <w:rsid w:val="00733372"/>
    <w:rsid w:val="007335B8"/>
    <w:rsid w:val="0073436F"/>
    <w:rsid w:val="00734B3F"/>
    <w:rsid w:val="00736CBD"/>
    <w:rsid w:val="00740BE9"/>
    <w:rsid w:val="00741F38"/>
    <w:rsid w:val="00742215"/>
    <w:rsid w:val="007528D8"/>
    <w:rsid w:val="007531BA"/>
    <w:rsid w:val="00754B09"/>
    <w:rsid w:val="00755B70"/>
    <w:rsid w:val="00762EC0"/>
    <w:rsid w:val="00764E0E"/>
    <w:rsid w:val="00765726"/>
    <w:rsid w:val="007707CA"/>
    <w:rsid w:val="007723C7"/>
    <w:rsid w:val="00775C69"/>
    <w:rsid w:val="00783668"/>
    <w:rsid w:val="007962F5"/>
    <w:rsid w:val="007A1827"/>
    <w:rsid w:val="007A5A9A"/>
    <w:rsid w:val="007B4869"/>
    <w:rsid w:val="007B66FD"/>
    <w:rsid w:val="007C000F"/>
    <w:rsid w:val="007C1248"/>
    <w:rsid w:val="007C20FA"/>
    <w:rsid w:val="007C359B"/>
    <w:rsid w:val="007C5AC1"/>
    <w:rsid w:val="007D24F8"/>
    <w:rsid w:val="007D5F28"/>
    <w:rsid w:val="007E0EF8"/>
    <w:rsid w:val="007E16D2"/>
    <w:rsid w:val="007E7985"/>
    <w:rsid w:val="007E7E01"/>
    <w:rsid w:val="007F0354"/>
    <w:rsid w:val="007F1D17"/>
    <w:rsid w:val="007F33C5"/>
    <w:rsid w:val="00803B4B"/>
    <w:rsid w:val="00807056"/>
    <w:rsid w:val="00811658"/>
    <w:rsid w:val="00811A88"/>
    <w:rsid w:val="00813304"/>
    <w:rsid w:val="008211E8"/>
    <w:rsid w:val="008219E6"/>
    <w:rsid w:val="0082202E"/>
    <w:rsid w:val="00824774"/>
    <w:rsid w:val="00826BF8"/>
    <w:rsid w:val="00827C3C"/>
    <w:rsid w:val="00830A9A"/>
    <w:rsid w:val="008321DD"/>
    <w:rsid w:val="00835721"/>
    <w:rsid w:val="00837ADD"/>
    <w:rsid w:val="0084323D"/>
    <w:rsid w:val="008541E3"/>
    <w:rsid w:val="00860E63"/>
    <w:rsid w:val="0086469B"/>
    <w:rsid w:val="00867928"/>
    <w:rsid w:val="00881D87"/>
    <w:rsid w:val="00881E19"/>
    <w:rsid w:val="008833EC"/>
    <w:rsid w:val="00884569"/>
    <w:rsid w:val="00884B7F"/>
    <w:rsid w:val="008862AC"/>
    <w:rsid w:val="00887FE4"/>
    <w:rsid w:val="00890F29"/>
    <w:rsid w:val="008915BE"/>
    <w:rsid w:val="008925B4"/>
    <w:rsid w:val="00895309"/>
    <w:rsid w:val="008964C5"/>
    <w:rsid w:val="00897A0F"/>
    <w:rsid w:val="008A292C"/>
    <w:rsid w:val="008A3EB5"/>
    <w:rsid w:val="008A5465"/>
    <w:rsid w:val="008B28DF"/>
    <w:rsid w:val="008B2916"/>
    <w:rsid w:val="008B2C68"/>
    <w:rsid w:val="008C23F7"/>
    <w:rsid w:val="008C3808"/>
    <w:rsid w:val="008C3A42"/>
    <w:rsid w:val="008C45CF"/>
    <w:rsid w:val="008C7D23"/>
    <w:rsid w:val="008D2CEC"/>
    <w:rsid w:val="008D4AFB"/>
    <w:rsid w:val="008D72D4"/>
    <w:rsid w:val="008E0B22"/>
    <w:rsid w:val="008E6D49"/>
    <w:rsid w:val="008F025D"/>
    <w:rsid w:val="008F1057"/>
    <w:rsid w:val="008F21C4"/>
    <w:rsid w:val="008F4B6C"/>
    <w:rsid w:val="008F640C"/>
    <w:rsid w:val="00903845"/>
    <w:rsid w:val="00907C22"/>
    <w:rsid w:val="0091355F"/>
    <w:rsid w:val="00916584"/>
    <w:rsid w:val="00921749"/>
    <w:rsid w:val="009227E5"/>
    <w:rsid w:val="00923B1C"/>
    <w:rsid w:val="00927F73"/>
    <w:rsid w:val="00930C77"/>
    <w:rsid w:val="00931E0D"/>
    <w:rsid w:val="00933915"/>
    <w:rsid w:val="00940A61"/>
    <w:rsid w:val="00941739"/>
    <w:rsid w:val="00942FB1"/>
    <w:rsid w:val="00945C99"/>
    <w:rsid w:val="0094763E"/>
    <w:rsid w:val="00947A57"/>
    <w:rsid w:val="00950714"/>
    <w:rsid w:val="0095150C"/>
    <w:rsid w:val="00952573"/>
    <w:rsid w:val="009553CF"/>
    <w:rsid w:val="009555CE"/>
    <w:rsid w:val="009631B2"/>
    <w:rsid w:val="0096474B"/>
    <w:rsid w:val="009660D4"/>
    <w:rsid w:val="00971F85"/>
    <w:rsid w:val="009758BE"/>
    <w:rsid w:val="009758EF"/>
    <w:rsid w:val="00975D96"/>
    <w:rsid w:val="00977B88"/>
    <w:rsid w:val="0098562D"/>
    <w:rsid w:val="00992A2C"/>
    <w:rsid w:val="00992C3A"/>
    <w:rsid w:val="00996FCA"/>
    <w:rsid w:val="009A617F"/>
    <w:rsid w:val="009B0C08"/>
    <w:rsid w:val="009C1A2C"/>
    <w:rsid w:val="009C5D29"/>
    <w:rsid w:val="009D244C"/>
    <w:rsid w:val="009E02A0"/>
    <w:rsid w:val="009E072D"/>
    <w:rsid w:val="009E2ACC"/>
    <w:rsid w:val="009E2C02"/>
    <w:rsid w:val="009E2D69"/>
    <w:rsid w:val="009E5A4C"/>
    <w:rsid w:val="009E773C"/>
    <w:rsid w:val="009F1E01"/>
    <w:rsid w:val="009F1FCA"/>
    <w:rsid w:val="009F41CD"/>
    <w:rsid w:val="00A00D97"/>
    <w:rsid w:val="00A05AB0"/>
    <w:rsid w:val="00A07220"/>
    <w:rsid w:val="00A22A5F"/>
    <w:rsid w:val="00A30C22"/>
    <w:rsid w:val="00A360AB"/>
    <w:rsid w:val="00A41B05"/>
    <w:rsid w:val="00A41C90"/>
    <w:rsid w:val="00A42363"/>
    <w:rsid w:val="00A42A52"/>
    <w:rsid w:val="00A44879"/>
    <w:rsid w:val="00A46F29"/>
    <w:rsid w:val="00A57724"/>
    <w:rsid w:val="00A61C55"/>
    <w:rsid w:val="00A66D2B"/>
    <w:rsid w:val="00A716F4"/>
    <w:rsid w:val="00A721FE"/>
    <w:rsid w:val="00A73AF3"/>
    <w:rsid w:val="00A73B75"/>
    <w:rsid w:val="00A807CE"/>
    <w:rsid w:val="00A90A41"/>
    <w:rsid w:val="00A90EAB"/>
    <w:rsid w:val="00AA1424"/>
    <w:rsid w:val="00AA22B8"/>
    <w:rsid w:val="00AA351D"/>
    <w:rsid w:val="00AA6201"/>
    <w:rsid w:val="00AB456C"/>
    <w:rsid w:val="00AB4A65"/>
    <w:rsid w:val="00AB578C"/>
    <w:rsid w:val="00AB6211"/>
    <w:rsid w:val="00AC0ACF"/>
    <w:rsid w:val="00AC54CE"/>
    <w:rsid w:val="00AC769B"/>
    <w:rsid w:val="00AD0A60"/>
    <w:rsid w:val="00AD0D37"/>
    <w:rsid w:val="00AD77F5"/>
    <w:rsid w:val="00AE32ED"/>
    <w:rsid w:val="00AE5589"/>
    <w:rsid w:val="00AE70DE"/>
    <w:rsid w:val="00AE7376"/>
    <w:rsid w:val="00AF1F05"/>
    <w:rsid w:val="00B00A9F"/>
    <w:rsid w:val="00B058CD"/>
    <w:rsid w:val="00B10060"/>
    <w:rsid w:val="00B12355"/>
    <w:rsid w:val="00B132FC"/>
    <w:rsid w:val="00B14C1E"/>
    <w:rsid w:val="00B15A56"/>
    <w:rsid w:val="00B21568"/>
    <w:rsid w:val="00B2773A"/>
    <w:rsid w:val="00B33996"/>
    <w:rsid w:val="00B34828"/>
    <w:rsid w:val="00B357F6"/>
    <w:rsid w:val="00B35B15"/>
    <w:rsid w:val="00B4029E"/>
    <w:rsid w:val="00B41574"/>
    <w:rsid w:val="00B41DDA"/>
    <w:rsid w:val="00B50CEC"/>
    <w:rsid w:val="00B52F5F"/>
    <w:rsid w:val="00B533D8"/>
    <w:rsid w:val="00B61519"/>
    <w:rsid w:val="00B70B75"/>
    <w:rsid w:val="00B70BEA"/>
    <w:rsid w:val="00B72962"/>
    <w:rsid w:val="00B77E6C"/>
    <w:rsid w:val="00B77F1D"/>
    <w:rsid w:val="00B814E6"/>
    <w:rsid w:val="00B81A2A"/>
    <w:rsid w:val="00B8395C"/>
    <w:rsid w:val="00B86D4A"/>
    <w:rsid w:val="00B90400"/>
    <w:rsid w:val="00B90797"/>
    <w:rsid w:val="00B91C7E"/>
    <w:rsid w:val="00B91F74"/>
    <w:rsid w:val="00B9659B"/>
    <w:rsid w:val="00B97AA1"/>
    <w:rsid w:val="00BA038C"/>
    <w:rsid w:val="00BA344B"/>
    <w:rsid w:val="00BA584A"/>
    <w:rsid w:val="00BA6F10"/>
    <w:rsid w:val="00BA713A"/>
    <w:rsid w:val="00BA7306"/>
    <w:rsid w:val="00BB08FD"/>
    <w:rsid w:val="00BB24D5"/>
    <w:rsid w:val="00BB257F"/>
    <w:rsid w:val="00BB4770"/>
    <w:rsid w:val="00BB5F44"/>
    <w:rsid w:val="00BB7CEF"/>
    <w:rsid w:val="00BC5BCF"/>
    <w:rsid w:val="00BC6D37"/>
    <w:rsid w:val="00BD2654"/>
    <w:rsid w:val="00BD40DF"/>
    <w:rsid w:val="00BD5AFB"/>
    <w:rsid w:val="00BD65E2"/>
    <w:rsid w:val="00BD7A82"/>
    <w:rsid w:val="00BD7E75"/>
    <w:rsid w:val="00BE0D1F"/>
    <w:rsid w:val="00BE4189"/>
    <w:rsid w:val="00BE5FA0"/>
    <w:rsid w:val="00BF2662"/>
    <w:rsid w:val="00BF5564"/>
    <w:rsid w:val="00BF5EB0"/>
    <w:rsid w:val="00C02AB2"/>
    <w:rsid w:val="00C11A08"/>
    <w:rsid w:val="00C17B9E"/>
    <w:rsid w:val="00C206A7"/>
    <w:rsid w:val="00C21F97"/>
    <w:rsid w:val="00C23611"/>
    <w:rsid w:val="00C2437F"/>
    <w:rsid w:val="00C30BDC"/>
    <w:rsid w:val="00C326FC"/>
    <w:rsid w:val="00C43FF3"/>
    <w:rsid w:val="00C454B5"/>
    <w:rsid w:val="00C46C9F"/>
    <w:rsid w:val="00C5377B"/>
    <w:rsid w:val="00C53D5D"/>
    <w:rsid w:val="00C57DBF"/>
    <w:rsid w:val="00C6224B"/>
    <w:rsid w:val="00C627BB"/>
    <w:rsid w:val="00C66179"/>
    <w:rsid w:val="00C6726C"/>
    <w:rsid w:val="00C70597"/>
    <w:rsid w:val="00C74CAD"/>
    <w:rsid w:val="00C77A04"/>
    <w:rsid w:val="00C825C6"/>
    <w:rsid w:val="00C900AE"/>
    <w:rsid w:val="00CA004B"/>
    <w:rsid w:val="00CA157C"/>
    <w:rsid w:val="00CA1ABE"/>
    <w:rsid w:val="00CA44D0"/>
    <w:rsid w:val="00CA45C6"/>
    <w:rsid w:val="00CA6435"/>
    <w:rsid w:val="00CA7152"/>
    <w:rsid w:val="00CA759D"/>
    <w:rsid w:val="00CB01D8"/>
    <w:rsid w:val="00CB5EC2"/>
    <w:rsid w:val="00CC4137"/>
    <w:rsid w:val="00CC537E"/>
    <w:rsid w:val="00CC7768"/>
    <w:rsid w:val="00CD1043"/>
    <w:rsid w:val="00CD1946"/>
    <w:rsid w:val="00CD229D"/>
    <w:rsid w:val="00CD2943"/>
    <w:rsid w:val="00CD4090"/>
    <w:rsid w:val="00CD61EA"/>
    <w:rsid w:val="00CE00B7"/>
    <w:rsid w:val="00CF1EED"/>
    <w:rsid w:val="00D01CF8"/>
    <w:rsid w:val="00D05B3A"/>
    <w:rsid w:val="00D0679E"/>
    <w:rsid w:val="00D0719E"/>
    <w:rsid w:val="00D074F6"/>
    <w:rsid w:val="00D07D3A"/>
    <w:rsid w:val="00D1441B"/>
    <w:rsid w:val="00D207C2"/>
    <w:rsid w:val="00D225C3"/>
    <w:rsid w:val="00D2607D"/>
    <w:rsid w:val="00D30C89"/>
    <w:rsid w:val="00D35808"/>
    <w:rsid w:val="00D35B28"/>
    <w:rsid w:val="00D37380"/>
    <w:rsid w:val="00D42956"/>
    <w:rsid w:val="00D47FEB"/>
    <w:rsid w:val="00D60331"/>
    <w:rsid w:val="00D64EFC"/>
    <w:rsid w:val="00D667A8"/>
    <w:rsid w:val="00D85010"/>
    <w:rsid w:val="00D9146B"/>
    <w:rsid w:val="00D91C28"/>
    <w:rsid w:val="00D91E5F"/>
    <w:rsid w:val="00D96062"/>
    <w:rsid w:val="00DA1877"/>
    <w:rsid w:val="00DA4466"/>
    <w:rsid w:val="00DB0D5F"/>
    <w:rsid w:val="00DB20D5"/>
    <w:rsid w:val="00DB593C"/>
    <w:rsid w:val="00DC3DF9"/>
    <w:rsid w:val="00DC76DF"/>
    <w:rsid w:val="00DD76FC"/>
    <w:rsid w:val="00DE1756"/>
    <w:rsid w:val="00DE2B13"/>
    <w:rsid w:val="00DE50D5"/>
    <w:rsid w:val="00DE7E7D"/>
    <w:rsid w:val="00DF19FE"/>
    <w:rsid w:val="00DF203E"/>
    <w:rsid w:val="00DF3929"/>
    <w:rsid w:val="00DF3AF7"/>
    <w:rsid w:val="00E04C3F"/>
    <w:rsid w:val="00E10BD3"/>
    <w:rsid w:val="00E11722"/>
    <w:rsid w:val="00E1309A"/>
    <w:rsid w:val="00E147D4"/>
    <w:rsid w:val="00E165A0"/>
    <w:rsid w:val="00E20812"/>
    <w:rsid w:val="00E2115E"/>
    <w:rsid w:val="00E222DF"/>
    <w:rsid w:val="00E346E1"/>
    <w:rsid w:val="00E35A41"/>
    <w:rsid w:val="00E46FFF"/>
    <w:rsid w:val="00E51213"/>
    <w:rsid w:val="00E54D01"/>
    <w:rsid w:val="00E555AA"/>
    <w:rsid w:val="00E55AEC"/>
    <w:rsid w:val="00E56008"/>
    <w:rsid w:val="00E5687B"/>
    <w:rsid w:val="00E60FBC"/>
    <w:rsid w:val="00E614A7"/>
    <w:rsid w:val="00E619BF"/>
    <w:rsid w:val="00E63C25"/>
    <w:rsid w:val="00E724E9"/>
    <w:rsid w:val="00E72F10"/>
    <w:rsid w:val="00E83306"/>
    <w:rsid w:val="00E91929"/>
    <w:rsid w:val="00E91BCC"/>
    <w:rsid w:val="00E95691"/>
    <w:rsid w:val="00EA041C"/>
    <w:rsid w:val="00EA4E74"/>
    <w:rsid w:val="00EA6152"/>
    <w:rsid w:val="00EB3B4D"/>
    <w:rsid w:val="00EB526F"/>
    <w:rsid w:val="00ED0ADF"/>
    <w:rsid w:val="00ED491A"/>
    <w:rsid w:val="00EE017E"/>
    <w:rsid w:val="00EE457E"/>
    <w:rsid w:val="00EF566C"/>
    <w:rsid w:val="00EF5C0D"/>
    <w:rsid w:val="00EF6E6A"/>
    <w:rsid w:val="00F035D0"/>
    <w:rsid w:val="00F03A5D"/>
    <w:rsid w:val="00F05DE5"/>
    <w:rsid w:val="00F07E90"/>
    <w:rsid w:val="00F133FA"/>
    <w:rsid w:val="00F14DEF"/>
    <w:rsid w:val="00F16233"/>
    <w:rsid w:val="00F16CCC"/>
    <w:rsid w:val="00F2107E"/>
    <w:rsid w:val="00F22202"/>
    <w:rsid w:val="00F2269B"/>
    <w:rsid w:val="00F277B2"/>
    <w:rsid w:val="00F3227C"/>
    <w:rsid w:val="00F35CC5"/>
    <w:rsid w:val="00F43B29"/>
    <w:rsid w:val="00F542AF"/>
    <w:rsid w:val="00F57E07"/>
    <w:rsid w:val="00F60F40"/>
    <w:rsid w:val="00F642A9"/>
    <w:rsid w:val="00F727EB"/>
    <w:rsid w:val="00F73630"/>
    <w:rsid w:val="00F73EA1"/>
    <w:rsid w:val="00F73F52"/>
    <w:rsid w:val="00F767EC"/>
    <w:rsid w:val="00F808DE"/>
    <w:rsid w:val="00F81BBA"/>
    <w:rsid w:val="00F8549F"/>
    <w:rsid w:val="00F85CA7"/>
    <w:rsid w:val="00F86B8C"/>
    <w:rsid w:val="00F86DED"/>
    <w:rsid w:val="00F91A1C"/>
    <w:rsid w:val="00F97381"/>
    <w:rsid w:val="00FA0188"/>
    <w:rsid w:val="00FA6E12"/>
    <w:rsid w:val="00FB0467"/>
    <w:rsid w:val="00FB07A7"/>
    <w:rsid w:val="00FB2F15"/>
    <w:rsid w:val="00FB744B"/>
    <w:rsid w:val="00FB78EB"/>
    <w:rsid w:val="00FC17BF"/>
    <w:rsid w:val="00FC6C3D"/>
    <w:rsid w:val="00FC77B8"/>
    <w:rsid w:val="00FE22AC"/>
    <w:rsid w:val="00FE53E6"/>
    <w:rsid w:val="00FF44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1649"/>
    <o:shapelayout v:ext="edit">
      <o:idmap v:ext="edit" data="1"/>
    </o:shapelayout>
  </w:shapeDefaults>
  <w:decimalSymbol w:val=","/>
  <w:listSeparator w:val=";"/>
  <w14:docId w14:val="08F43823"/>
  <w15:docId w15:val="{53BC0F75-1891-4FEE-91CC-39ACEC04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72715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Ttulo3">
    <w:name w:val="heading 3"/>
    <w:basedOn w:val="Normal"/>
    <w:next w:val="Normal"/>
    <w:link w:val="Ttulo3Char"/>
    <w:uiPriority w:val="9"/>
    <w:semiHidden/>
    <w:unhideWhenUsed/>
    <w:qFormat/>
    <w:rsid w:val="005500D9"/>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8366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783668"/>
  </w:style>
  <w:style w:type="paragraph" w:styleId="Rodap">
    <w:name w:val="footer"/>
    <w:basedOn w:val="Normal"/>
    <w:link w:val="RodapChar"/>
    <w:uiPriority w:val="99"/>
    <w:unhideWhenUsed/>
    <w:rsid w:val="0078366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783668"/>
  </w:style>
  <w:style w:type="paragraph" w:styleId="PargrafodaLista">
    <w:name w:val="List Paragraph"/>
    <w:basedOn w:val="Normal"/>
    <w:uiPriority w:val="34"/>
    <w:qFormat/>
    <w:rsid w:val="0052388A"/>
    <w:pPr>
      <w:spacing w:after="160" w:line="259"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52388A"/>
    <w:rPr>
      <w:rFonts w:ascii="Segoe UI" w:eastAsiaTheme="minorHAnsi" w:hAnsi="Segoe UI" w:cs="Segoe UI"/>
      <w:sz w:val="18"/>
      <w:szCs w:val="18"/>
      <w:lang w:eastAsia="en-US"/>
    </w:rPr>
  </w:style>
  <w:style w:type="character" w:customStyle="1" w:styleId="TextodebaloChar">
    <w:name w:val="Texto de balão Char"/>
    <w:basedOn w:val="Fontepargpadro"/>
    <w:link w:val="Textodebalo"/>
    <w:uiPriority w:val="99"/>
    <w:semiHidden/>
    <w:rsid w:val="0052388A"/>
    <w:rPr>
      <w:rFonts w:ascii="Segoe UI" w:hAnsi="Segoe UI" w:cs="Segoe UI"/>
      <w:sz w:val="18"/>
      <w:szCs w:val="18"/>
    </w:rPr>
  </w:style>
  <w:style w:type="paragraph" w:styleId="Recuodecorpodetexto">
    <w:name w:val="Body Text Indent"/>
    <w:basedOn w:val="Normal"/>
    <w:link w:val="RecuodecorpodetextoChar"/>
    <w:unhideWhenUsed/>
    <w:rsid w:val="00FA6E12"/>
    <w:pPr>
      <w:ind w:left="3179"/>
      <w:jc w:val="both"/>
    </w:pPr>
    <w:rPr>
      <w:lang w:eastAsia="en-US"/>
    </w:rPr>
  </w:style>
  <w:style w:type="character" w:customStyle="1" w:styleId="RecuodecorpodetextoChar">
    <w:name w:val="Recuo de corpo de texto Char"/>
    <w:basedOn w:val="Fontepargpadro"/>
    <w:link w:val="Recuodecorpodetexto"/>
    <w:rsid w:val="00FA6E12"/>
    <w:rPr>
      <w:rFonts w:ascii="Times New Roman" w:eastAsia="Times New Roman" w:hAnsi="Times New Roman" w:cs="Times New Roman"/>
      <w:sz w:val="24"/>
      <w:szCs w:val="24"/>
    </w:rPr>
  </w:style>
  <w:style w:type="character" w:customStyle="1" w:styleId="apple-style-span">
    <w:name w:val="apple-style-span"/>
    <w:basedOn w:val="Fontepargpadro"/>
    <w:rsid w:val="00FA6E12"/>
  </w:style>
  <w:style w:type="character" w:customStyle="1" w:styleId="apple-converted-space">
    <w:name w:val="apple-converted-space"/>
    <w:basedOn w:val="Fontepargpadro"/>
    <w:rsid w:val="00FA6E12"/>
  </w:style>
  <w:style w:type="paragraph" w:styleId="Recuodecorpodetexto2">
    <w:name w:val="Body Text Indent 2"/>
    <w:basedOn w:val="Normal"/>
    <w:link w:val="Recuodecorpodetexto2Char"/>
    <w:uiPriority w:val="99"/>
    <w:unhideWhenUsed/>
    <w:rsid w:val="00CD1043"/>
    <w:pPr>
      <w:spacing w:after="120" w:line="480" w:lineRule="auto"/>
      <w:ind w:left="283"/>
    </w:pPr>
    <w:rPr>
      <w:rFonts w:asciiTheme="minorHAnsi" w:eastAsiaTheme="minorHAnsi" w:hAnsiTheme="minorHAnsi" w:cstheme="minorBidi"/>
      <w:sz w:val="22"/>
      <w:szCs w:val="22"/>
      <w:lang w:eastAsia="en-US"/>
    </w:rPr>
  </w:style>
  <w:style w:type="character" w:customStyle="1" w:styleId="Recuodecorpodetexto2Char">
    <w:name w:val="Recuo de corpo de texto 2 Char"/>
    <w:basedOn w:val="Fontepargpadro"/>
    <w:link w:val="Recuodecorpodetexto2"/>
    <w:uiPriority w:val="99"/>
    <w:rsid w:val="00CD1043"/>
  </w:style>
  <w:style w:type="paragraph" w:styleId="Corpodetexto">
    <w:name w:val="Body Text"/>
    <w:basedOn w:val="Normal"/>
    <w:link w:val="CorpodetextoChar"/>
    <w:unhideWhenUsed/>
    <w:rsid w:val="00CD1043"/>
    <w:pPr>
      <w:spacing w:after="120"/>
    </w:pPr>
    <w:rPr>
      <w:sz w:val="20"/>
      <w:szCs w:val="20"/>
    </w:rPr>
  </w:style>
  <w:style w:type="character" w:customStyle="1" w:styleId="CorpodetextoChar">
    <w:name w:val="Corpo de texto Char"/>
    <w:basedOn w:val="Fontepargpadro"/>
    <w:link w:val="Corpodetexto"/>
    <w:rsid w:val="00CD1043"/>
    <w:rPr>
      <w:rFonts w:ascii="Times New Roman" w:eastAsia="Times New Roman" w:hAnsi="Times New Roman" w:cs="Times New Roman"/>
      <w:sz w:val="20"/>
      <w:szCs w:val="20"/>
      <w:lang w:eastAsia="pt-BR"/>
    </w:rPr>
  </w:style>
  <w:style w:type="paragraph" w:customStyle="1" w:styleId="Default">
    <w:name w:val="Default"/>
    <w:link w:val="DefaultChar"/>
    <w:rsid w:val="00EA6152"/>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Hyperlink">
    <w:name w:val="Hyperlink"/>
    <w:basedOn w:val="Fontepargpadro"/>
    <w:uiPriority w:val="99"/>
    <w:semiHidden/>
    <w:unhideWhenUsed/>
    <w:rsid w:val="005D4ADE"/>
    <w:rPr>
      <w:color w:val="0000FF"/>
      <w:u w:val="single"/>
    </w:rPr>
  </w:style>
  <w:style w:type="character" w:customStyle="1" w:styleId="Ttulo1Char">
    <w:name w:val="Título 1 Char"/>
    <w:basedOn w:val="Fontepargpadro"/>
    <w:link w:val="Ttulo1"/>
    <w:uiPriority w:val="9"/>
    <w:rsid w:val="00727158"/>
    <w:rPr>
      <w:rFonts w:asciiTheme="majorHAnsi" w:eastAsiaTheme="majorEastAsia" w:hAnsiTheme="majorHAnsi" w:cstheme="majorBidi"/>
      <w:b/>
      <w:bCs/>
      <w:color w:val="2F5496" w:themeColor="accent1" w:themeShade="BF"/>
      <w:sz w:val="28"/>
      <w:szCs w:val="28"/>
    </w:rPr>
  </w:style>
  <w:style w:type="character" w:styleId="Forte">
    <w:name w:val="Strong"/>
    <w:basedOn w:val="Fontepargpadro"/>
    <w:uiPriority w:val="22"/>
    <w:qFormat/>
    <w:rsid w:val="00727158"/>
    <w:rPr>
      <w:b/>
      <w:bCs/>
    </w:rPr>
  </w:style>
  <w:style w:type="character" w:customStyle="1" w:styleId="Ttulo3Char">
    <w:name w:val="Título 3 Char"/>
    <w:basedOn w:val="Fontepargpadro"/>
    <w:link w:val="Ttulo3"/>
    <w:uiPriority w:val="9"/>
    <w:semiHidden/>
    <w:rsid w:val="005500D9"/>
    <w:rPr>
      <w:rFonts w:asciiTheme="majorHAnsi" w:eastAsiaTheme="majorEastAsia" w:hAnsiTheme="majorHAnsi" w:cstheme="majorBidi"/>
      <w:color w:val="1F3763" w:themeColor="accent1" w:themeShade="7F"/>
      <w:sz w:val="24"/>
      <w:szCs w:val="24"/>
      <w:lang w:eastAsia="pt-BR"/>
    </w:rPr>
  </w:style>
  <w:style w:type="paragraph" w:styleId="NormalWeb">
    <w:name w:val="Normal (Web)"/>
    <w:basedOn w:val="Normal"/>
    <w:uiPriority w:val="99"/>
    <w:semiHidden/>
    <w:unhideWhenUsed/>
    <w:rsid w:val="00C326FC"/>
    <w:pPr>
      <w:spacing w:after="324"/>
    </w:pPr>
  </w:style>
  <w:style w:type="character" w:customStyle="1" w:styleId="ecxgrame">
    <w:name w:val="ecxgrame"/>
    <w:basedOn w:val="Fontepargpadro"/>
    <w:rsid w:val="00C326FC"/>
  </w:style>
  <w:style w:type="paragraph" w:customStyle="1" w:styleId="xmsonormal">
    <w:name w:val="x_msonormal"/>
    <w:basedOn w:val="Normal"/>
    <w:rsid w:val="003669A9"/>
    <w:pPr>
      <w:spacing w:before="100" w:beforeAutospacing="1" w:after="100" w:afterAutospacing="1"/>
    </w:pPr>
  </w:style>
  <w:style w:type="paragraph" w:customStyle="1" w:styleId="ecxmsonormal">
    <w:name w:val="ecxmsonormal"/>
    <w:basedOn w:val="Normal"/>
    <w:rsid w:val="00084E37"/>
    <w:pPr>
      <w:ind w:left="180" w:right="180"/>
    </w:pPr>
  </w:style>
  <w:style w:type="character" w:customStyle="1" w:styleId="label">
    <w:name w:val="label"/>
    <w:basedOn w:val="Fontepargpadro"/>
    <w:rsid w:val="00A716F4"/>
  </w:style>
  <w:style w:type="character" w:customStyle="1" w:styleId="highlight">
    <w:name w:val="highlight"/>
    <w:basedOn w:val="Fontepargpadro"/>
    <w:rsid w:val="0034491B"/>
  </w:style>
  <w:style w:type="character" w:customStyle="1" w:styleId="DefaultChar">
    <w:name w:val="Default Char"/>
    <w:link w:val="Default"/>
    <w:locked/>
    <w:rsid w:val="008E6D49"/>
    <w:rPr>
      <w:rFonts w:ascii="Arial" w:eastAsia="Times New Roman" w:hAnsi="Arial" w:cs="Arial"/>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5124">
      <w:bodyDiv w:val="1"/>
      <w:marLeft w:val="0"/>
      <w:marRight w:val="0"/>
      <w:marTop w:val="0"/>
      <w:marBottom w:val="0"/>
      <w:divBdr>
        <w:top w:val="none" w:sz="0" w:space="0" w:color="auto"/>
        <w:left w:val="none" w:sz="0" w:space="0" w:color="auto"/>
        <w:bottom w:val="none" w:sz="0" w:space="0" w:color="auto"/>
        <w:right w:val="none" w:sz="0" w:space="0" w:color="auto"/>
      </w:divBdr>
    </w:div>
    <w:div w:id="61292236">
      <w:bodyDiv w:val="1"/>
      <w:marLeft w:val="0"/>
      <w:marRight w:val="0"/>
      <w:marTop w:val="0"/>
      <w:marBottom w:val="0"/>
      <w:divBdr>
        <w:top w:val="none" w:sz="0" w:space="0" w:color="auto"/>
        <w:left w:val="none" w:sz="0" w:space="0" w:color="auto"/>
        <w:bottom w:val="none" w:sz="0" w:space="0" w:color="auto"/>
        <w:right w:val="none" w:sz="0" w:space="0" w:color="auto"/>
      </w:divBdr>
    </w:div>
    <w:div w:id="65225301">
      <w:bodyDiv w:val="1"/>
      <w:marLeft w:val="0"/>
      <w:marRight w:val="0"/>
      <w:marTop w:val="0"/>
      <w:marBottom w:val="0"/>
      <w:divBdr>
        <w:top w:val="none" w:sz="0" w:space="0" w:color="auto"/>
        <w:left w:val="none" w:sz="0" w:space="0" w:color="auto"/>
        <w:bottom w:val="none" w:sz="0" w:space="0" w:color="auto"/>
        <w:right w:val="none" w:sz="0" w:space="0" w:color="auto"/>
      </w:divBdr>
    </w:div>
    <w:div w:id="90056481">
      <w:bodyDiv w:val="1"/>
      <w:marLeft w:val="0"/>
      <w:marRight w:val="0"/>
      <w:marTop w:val="0"/>
      <w:marBottom w:val="0"/>
      <w:divBdr>
        <w:top w:val="none" w:sz="0" w:space="0" w:color="auto"/>
        <w:left w:val="none" w:sz="0" w:space="0" w:color="auto"/>
        <w:bottom w:val="none" w:sz="0" w:space="0" w:color="auto"/>
        <w:right w:val="none" w:sz="0" w:space="0" w:color="auto"/>
      </w:divBdr>
    </w:div>
    <w:div w:id="106970077">
      <w:bodyDiv w:val="1"/>
      <w:marLeft w:val="0"/>
      <w:marRight w:val="0"/>
      <w:marTop w:val="0"/>
      <w:marBottom w:val="0"/>
      <w:divBdr>
        <w:top w:val="none" w:sz="0" w:space="0" w:color="auto"/>
        <w:left w:val="none" w:sz="0" w:space="0" w:color="auto"/>
        <w:bottom w:val="none" w:sz="0" w:space="0" w:color="auto"/>
        <w:right w:val="none" w:sz="0" w:space="0" w:color="auto"/>
      </w:divBdr>
    </w:div>
    <w:div w:id="120656655">
      <w:bodyDiv w:val="1"/>
      <w:marLeft w:val="0"/>
      <w:marRight w:val="0"/>
      <w:marTop w:val="0"/>
      <w:marBottom w:val="0"/>
      <w:divBdr>
        <w:top w:val="none" w:sz="0" w:space="0" w:color="auto"/>
        <w:left w:val="none" w:sz="0" w:space="0" w:color="auto"/>
        <w:bottom w:val="none" w:sz="0" w:space="0" w:color="auto"/>
        <w:right w:val="none" w:sz="0" w:space="0" w:color="auto"/>
      </w:divBdr>
    </w:div>
    <w:div w:id="134178798">
      <w:bodyDiv w:val="1"/>
      <w:marLeft w:val="0"/>
      <w:marRight w:val="0"/>
      <w:marTop w:val="0"/>
      <w:marBottom w:val="0"/>
      <w:divBdr>
        <w:top w:val="none" w:sz="0" w:space="0" w:color="auto"/>
        <w:left w:val="none" w:sz="0" w:space="0" w:color="auto"/>
        <w:bottom w:val="none" w:sz="0" w:space="0" w:color="auto"/>
        <w:right w:val="none" w:sz="0" w:space="0" w:color="auto"/>
      </w:divBdr>
    </w:div>
    <w:div w:id="169610152">
      <w:bodyDiv w:val="1"/>
      <w:marLeft w:val="0"/>
      <w:marRight w:val="0"/>
      <w:marTop w:val="0"/>
      <w:marBottom w:val="0"/>
      <w:divBdr>
        <w:top w:val="none" w:sz="0" w:space="0" w:color="auto"/>
        <w:left w:val="none" w:sz="0" w:space="0" w:color="auto"/>
        <w:bottom w:val="none" w:sz="0" w:space="0" w:color="auto"/>
        <w:right w:val="none" w:sz="0" w:space="0" w:color="auto"/>
      </w:divBdr>
    </w:div>
    <w:div w:id="209459117">
      <w:bodyDiv w:val="1"/>
      <w:marLeft w:val="0"/>
      <w:marRight w:val="0"/>
      <w:marTop w:val="0"/>
      <w:marBottom w:val="0"/>
      <w:divBdr>
        <w:top w:val="none" w:sz="0" w:space="0" w:color="auto"/>
        <w:left w:val="none" w:sz="0" w:space="0" w:color="auto"/>
        <w:bottom w:val="none" w:sz="0" w:space="0" w:color="auto"/>
        <w:right w:val="none" w:sz="0" w:space="0" w:color="auto"/>
      </w:divBdr>
    </w:div>
    <w:div w:id="209655280">
      <w:bodyDiv w:val="1"/>
      <w:marLeft w:val="0"/>
      <w:marRight w:val="0"/>
      <w:marTop w:val="0"/>
      <w:marBottom w:val="0"/>
      <w:divBdr>
        <w:top w:val="none" w:sz="0" w:space="0" w:color="auto"/>
        <w:left w:val="none" w:sz="0" w:space="0" w:color="auto"/>
        <w:bottom w:val="none" w:sz="0" w:space="0" w:color="auto"/>
        <w:right w:val="none" w:sz="0" w:space="0" w:color="auto"/>
      </w:divBdr>
    </w:div>
    <w:div w:id="260572790">
      <w:bodyDiv w:val="1"/>
      <w:marLeft w:val="0"/>
      <w:marRight w:val="0"/>
      <w:marTop w:val="0"/>
      <w:marBottom w:val="0"/>
      <w:divBdr>
        <w:top w:val="none" w:sz="0" w:space="0" w:color="auto"/>
        <w:left w:val="none" w:sz="0" w:space="0" w:color="auto"/>
        <w:bottom w:val="none" w:sz="0" w:space="0" w:color="auto"/>
        <w:right w:val="none" w:sz="0" w:space="0" w:color="auto"/>
      </w:divBdr>
    </w:div>
    <w:div w:id="271400202">
      <w:bodyDiv w:val="1"/>
      <w:marLeft w:val="0"/>
      <w:marRight w:val="0"/>
      <w:marTop w:val="0"/>
      <w:marBottom w:val="0"/>
      <w:divBdr>
        <w:top w:val="none" w:sz="0" w:space="0" w:color="auto"/>
        <w:left w:val="none" w:sz="0" w:space="0" w:color="auto"/>
        <w:bottom w:val="none" w:sz="0" w:space="0" w:color="auto"/>
        <w:right w:val="none" w:sz="0" w:space="0" w:color="auto"/>
      </w:divBdr>
    </w:div>
    <w:div w:id="283735045">
      <w:bodyDiv w:val="1"/>
      <w:marLeft w:val="0"/>
      <w:marRight w:val="0"/>
      <w:marTop w:val="0"/>
      <w:marBottom w:val="0"/>
      <w:divBdr>
        <w:top w:val="none" w:sz="0" w:space="0" w:color="auto"/>
        <w:left w:val="none" w:sz="0" w:space="0" w:color="auto"/>
        <w:bottom w:val="none" w:sz="0" w:space="0" w:color="auto"/>
        <w:right w:val="none" w:sz="0" w:space="0" w:color="auto"/>
      </w:divBdr>
    </w:div>
    <w:div w:id="294454062">
      <w:bodyDiv w:val="1"/>
      <w:marLeft w:val="0"/>
      <w:marRight w:val="0"/>
      <w:marTop w:val="0"/>
      <w:marBottom w:val="0"/>
      <w:divBdr>
        <w:top w:val="none" w:sz="0" w:space="0" w:color="auto"/>
        <w:left w:val="none" w:sz="0" w:space="0" w:color="auto"/>
        <w:bottom w:val="none" w:sz="0" w:space="0" w:color="auto"/>
        <w:right w:val="none" w:sz="0" w:space="0" w:color="auto"/>
      </w:divBdr>
    </w:div>
    <w:div w:id="310596869">
      <w:bodyDiv w:val="1"/>
      <w:marLeft w:val="0"/>
      <w:marRight w:val="0"/>
      <w:marTop w:val="0"/>
      <w:marBottom w:val="0"/>
      <w:divBdr>
        <w:top w:val="none" w:sz="0" w:space="0" w:color="auto"/>
        <w:left w:val="none" w:sz="0" w:space="0" w:color="auto"/>
        <w:bottom w:val="none" w:sz="0" w:space="0" w:color="auto"/>
        <w:right w:val="none" w:sz="0" w:space="0" w:color="auto"/>
      </w:divBdr>
    </w:div>
    <w:div w:id="325741640">
      <w:bodyDiv w:val="1"/>
      <w:marLeft w:val="0"/>
      <w:marRight w:val="0"/>
      <w:marTop w:val="0"/>
      <w:marBottom w:val="0"/>
      <w:divBdr>
        <w:top w:val="none" w:sz="0" w:space="0" w:color="auto"/>
        <w:left w:val="none" w:sz="0" w:space="0" w:color="auto"/>
        <w:bottom w:val="none" w:sz="0" w:space="0" w:color="auto"/>
        <w:right w:val="none" w:sz="0" w:space="0" w:color="auto"/>
      </w:divBdr>
    </w:div>
    <w:div w:id="366030799">
      <w:bodyDiv w:val="1"/>
      <w:marLeft w:val="0"/>
      <w:marRight w:val="0"/>
      <w:marTop w:val="0"/>
      <w:marBottom w:val="0"/>
      <w:divBdr>
        <w:top w:val="none" w:sz="0" w:space="0" w:color="auto"/>
        <w:left w:val="none" w:sz="0" w:space="0" w:color="auto"/>
        <w:bottom w:val="none" w:sz="0" w:space="0" w:color="auto"/>
        <w:right w:val="none" w:sz="0" w:space="0" w:color="auto"/>
      </w:divBdr>
    </w:div>
    <w:div w:id="372922428">
      <w:bodyDiv w:val="1"/>
      <w:marLeft w:val="0"/>
      <w:marRight w:val="0"/>
      <w:marTop w:val="0"/>
      <w:marBottom w:val="0"/>
      <w:divBdr>
        <w:top w:val="none" w:sz="0" w:space="0" w:color="auto"/>
        <w:left w:val="none" w:sz="0" w:space="0" w:color="auto"/>
        <w:bottom w:val="none" w:sz="0" w:space="0" w:color="auto"/>
        <w:right w:val="none" w:sz="0" w:space="0" w:color="auto"/>
      </w:divBdr>
    </w:div>
    <w:div w:id="386492633">
      <w:bodyDiv w:val="1"/>
      <w:marLeft w:val="0"/>
      <w:marRight w:val="0"/>
      <w:marTop w:val="0"/>
      <w:marBottom w:val="0"/>
      <w:divBdr>
        <w:top w:val="none" w:sz="0" w:space="0" w:color="auto"/>
        <w:left w:val="none" w:sz="0" w:space="0" w:color="auto"/>
        <w:bottom w:val="none" w:sz="0" w:space="0" w:color="auto"/>
        <w:right w:val="none" w:sz="0" w:space="0" w:color="auto"/>
      </w:divBdr>
    </w:div>
    <w:div w:id="393042085">
      <w:bodyDiv w:val="1"/>
      <w:marLeft w:val="0"/>
      <w:marRight w:val="0"/>
      <w:marTop w:val="0"/>
      <w:marBottom w:val="0"/>
      <w:divBdr>
        <w:top w:val="none" w:sz="0" w:space="0" w:color="auto"/>
        <w:left w:val="none" w:sz="0" w:space="0" w:color="auto"/>
        <w:bottom w:val="none" w:sz="0" w:space="0" w:color="auto"/>
        <w:right w:val="none" w:sz="0" w:space="0" w:color="auto"/>
      </w:divBdr>
    </w:div>
    <w:div w:id="406877478">
      <w:bodyDiv w:val="1"/>
      <w:marLeft w:val="0"/>
      <w:marRight w:val="0"/>
      <w:marTop w:val="0"/>
      <w:marBottom w:val="0"/>
      <w:divBdr>
        <w:top w:val="none" w:sz="0" w:space="0" w:color="auto"/>
        <w:left w:val="none" w:sz="0" w:space="0" w:color="auto"/>
        <w:bottom w:val="none" w:sz="0" w:space="0" w:color="auto"/>
        <w:right w:val="none" w:sz="0" w:space="0" w:color="auto"/>
      </w:divBdr>
    </w:div>
    <w:div w:id="423107711">
      <w:bodyDiv w:val="1"/>
      <w:marLeft w:val="0"/>
      <w:marRight w:val="0"/>
      <w:marTop w:val="0"/>
      <w:marBottom w:val="0"/>
      <w:divBdr>
        <w:top w:val="none" w:sz="0" w:space="0" w:color="auto"/>
        <w:left w:val="none" w:sz="0" w:space="0" w:color="auto"/>
        <w:bottom w:val="none" w:sz="0" w:space="0" w:color="auto"/>
        <w:right w:val="none" w:sz="0" w:space="0" w:color="auto"/>
      </w:divBdr>
    </w:div>
    <w:div w:id="453141185">
      <w:bodyDiv w:val="1"/>
      <w:marLeft w:val="0"/>
      <w:marRight w:val="0"/>
      <w:marTop w:val="0"/>
      <w:marBottom w:val="0"/>
      <w:divBdr>
        <w:top w:val="none" w:sz="0" w:space="0" w:color="auto"/>
        <w:left w:val="none" w:sz="0" w:space="0" w:color="auto"/>
        <w:bottom w:val="none" w:sz="0" w:space="0" w:color="auto"/>
        <w:right w:val="none" w:sz="0" w:space="0" w:color="auto"/>
      </w:divBdr>
    </w:div>
    <w:div w:id="497231042">
      <w:bodyDiv w:val="1"/>
      <w:marLeft w:val="0"/>
      <w:marRight w:val="0"/>
      <w:marTop w:val="0"/>
      <w:marBottom w:val="0"/>
      <w:divBdr>
        <w:top w:val="none" w:sz="0" w:space="0" w:color="auto"/>
        <w:left w:val="none" w:sz="0" w:space="0" w:color="auto"/>
        <w:bottom w:val="none" w:sz="0" w:space="0" w:color="auto"/>
        <w:right w:val="none" w:sz="0" w:space="0" w:color="auto"/>
      </w:divBdr>
    </w:div>
    <w:div w:id="506359880">
      <w:bodyDiv w:val="1"/>
      <w:marLeft w:val="0"/>
      <w:marRight w:val="0"/>
      <w:marTop w:val="0"/>
      <w:marBottom w:val="0"/>
      <w:divBdr>
        <w:top w:val="none" w:sz="0" w:space="0" w:color="auto"/>
        <w:left w:val="none" w:sz="0" w:space="0" w:color="auto"/>
        <w:bottom w:val="none" w:sz="0" w:space="0" w:color="auto"/>
        <w:right w:val="none" w:sz="0" w:space="0" w:color="auto"/>
      </w:divBdr>
    </w:div>
    <w:div w:id="525022677">
      <w:bodyDiv w:val="1"/>
      <w:marLeft w:val="0"/>
      <w:marRight w:val="0"/>
      <w:marTop w:val="0"/>
      <w:marBottom w:val="0"/>
      <w:divBdr>
        <w:top w:val="none" w:sz="0" w:space="0" w:color="auto"/>
        <w:left w:val="none" w:sz="0" w:space="0" w:color="auto"/>
        <w:bottom w:val="none" w:sz="0" w:space="0" w:color="auto"/>
        <w:right w:val="none" w:sz="0" w:space="0" w:color="auto"/>
      </w:divBdr>
    </w:div>
    <w:div w:id="547844145">
      <w:bodyDiv w:val="1"/>
      <w:marLeft w:val="0"/>
      <w:marRight w:val="0"/>
      <w:marTop w:val="0"/>
      <w:marBottom w:val="0"/>
      <w:divBdr>
        <w:top w:val="none" w:sz="0" w:space="0" w:color="auto"/>
        <w:left w:val="none" w:sz="0" w:space="0" w:color="auto"/>
        <w:bottom w:val="none" w:sz="0" w:space="0" w:color="auto"/>
        <w:right w:val="none" w:sz="0" w:space="0" w:color="auto"/>
      </w:divBdr>
    </w:div>
    <w:div w:id="570309781">
      <w:bodyDiv w:val="1"/>
      <w:marLeft w:val="0"/>
      <w:marRight w:val="0"/>
      <w:marTop w:val="0"/>
      <w:marBottom w:val="0"/>
      <w:divBdr>
        <w:top w:val="none" w:sz="0" w:space="0" w:color="auto"/>
        <w:left w:val="none" w:sz="0" w:space="0" w:color="auto"/>
        <w:bottom w:val="none" w:sz="0" w:space="0" w:color="auto"/>
        <w:right w:val="none" w:sz="0" w:space="0" w:color="auto"/>
      </w:divBdr>
    </w:div>
    <w:div w:id="607465417">
      <w:bodyDiv w:val="1"/>
      <w:marLeft w:val="0"/>
      <w:marRight w:val="0"/>
      <w:marTop w:val="0"/>
      <w:marBottom w:val="0"/>
      <w:divBdr>
        <w:top w:val="none" w:sz="0" w:space="0" w:color="auto"/>
        <w:left w:val="none" w:sz="0" w:space="0" w:color="auto"/>
        <w:bottom w:val="none" w:sz="0" w:space="0" w:color="auto"/>
        <w:right w:val="none" w:sz="0" w:space="0" w:color="auto"/>
      </w:divBdr>
    </w:div>
    <w:div w:id="627008790">
      <w:bodyDiv w:val="1"/>
      <w:marLeft w:val="0"/>
      <w:marRight w:val="0"/>
      <w:marTop w:val="0"/>
      <w:marBottom w:val="0"/>
      <w:divBdr>
        <w:top w:val="none" w:sz="0" w:space="0" w:color="auto"/>
        <w:left w:val="none" w:sz="0" w:space="0" w:color="auto"/>
        <w:bottom w:val="none" w:sz="0" w:space="0" w:color="auto"/>
        <w:right w:val="none" w:sz="0" w:space="0" w:color="auto"/>
      </w:divBdr>
    </w:div>
    <w:div w:id="642470890">
      <w:bodyDiv w:val="1"/>
      <w:marLeft w:val="0"/>
      <w:marRight w:val="0"/>
      <w:marTop w:val="0"/>
      <w:marBottom w:val="0"/>
      <w:divBdr>
        <w:top w:val="none" w:sz="0" w:space="0" w:color="auto"/>
        <w:left w:val="none" w:sz="0" w:space="0" w:color="auto"/>
        <w:bottom w:val="none" w:sz="0" w:space="0" w:color="auto"/>
        <w:right w:val="none" w:sz="0" w:space="0" w:color="auto"/>
      </w:divBdr>
    </w:div>
    <w:div w:id="657656406">
      <w:bodyDiv w:val="1"/>
      <w:marLeft w:val="0"/>
      <w:marRight w:val="0"/>
      <w:marTop w:val="0"/>
      <w:marBottom w:val="0"/>
      <w:divBdr>
        <w:top w:val="none" w:sz="0" w:space="0" w:color="auto"/>
        <w:left w:val="none" w:sz="0" w:space="0" w:color="auto"/>
        <w:bottom w:val="none" w:sz="0" w:space="0" w:color="auto"/>
        <w:right w:val="none" w:sz="0" w:space="0" w:color="auto"/>
      </w:divBdr>
    </w:div>
    <w:div w:id="671495455">
      <w:bodyDiv w:val="1"/>
      <w:marLeft w:val="0"/>
      <w:marRight w:val="0"/>
      <w:marTop w:val="0"/>
      <w:marBottom w:val="0"/>
      <w:divBdr>
        <w:top w:val="none" w:sz="0" w:space="0" w:color="auto"/>
        <w:left w:val="none" w:sz="0" w:space="0" w:color="auto"/>
        <w:bottom w:val="none" w:sz="0" w:space="0" w:color="auto"/>
        <w:right w:val="none" w:sz="0" w:space="0" w:color="auto"/>
      </w:divBdr>
    </w:div>
    <w:div w:id="682366631">
      <w:bodyDiv w:val="1"/>
      <w:marLeft w:val="0"/>
      <w:marRight w:val="0"/>
      <w:marTop w:val="0"/>
      <w:marBottom w:val="0"/>
      <w:divBdr>
        <w:top w:val="none" w:sz="0" w:space="0" w:color="auto"/>
        <w:left w:val="none" w:sz="0" w:space="0" w:color="auto"/>
        <w:bottom w:val="none" w:sz="0" w:space="0" w:color="auto"/>
        <w:right w:val="none" w:sz="0" w:space="0" w:color="auto"/>
      </w:divBdr>
    </w:div>
    <w:div w:id="688992972">
      <w:bodyDiv w:val="1"/>
      <w:marLeft w:val="0"/>
      <w:marRight w:val="0"/>
      <w:marTop w:val="0"/>
      <w:marBottom w:val="0"/>
      <w:divBdr>
        <w:top w:val="none" w:sz="0" w:space="0" w:color="auto"/>
        <w:left w:val="none" w:sz="0" w:space="0" w:color="auto"/>
        <w:bottom w:val="none" w:sz="0" w:space="0" w:color="auto"/>
        <w:right w:val="none" w:sz="0" w:space="0" w:color="auto"/>
      </w:divBdr>
    </w:div>
    <w:div w:id="691220967">
      <w:bodyDiv w:val="1"/>
      <w:marLeft w:val="0"/>
      <w:marRight w:val="0"/>
      <w:marTop w:val="0"/>
      <w:marBottom w:val="0"/>
      <w:divBdr>
        <w:top w:val="none" w:sz="0" w:space="0" w:color="auto"/>
        <w:left w:val="none" w:sz="0" w:space="0" w:color="auto"/>
        <w:bottom w:val="none" w:sz="0" w:space="0" w:color="auto"/>
        <w:right w:val="none" w:sz="0" w:space="0" w:color="auto"/>
      </w:divBdr>
    </w:div>
    <w:div w:id="701244741">
      <w:bodyDiv w:val="1"/>
      <w:marLeft w:val="0"/>
      <w:marRight w:val="0"/>
      <w:marTop w:val="0"/>
      <w:marBottom w:val="0"/>
      <w:divBdr>
        <w:top w:val="none" w:sz="0" w:space="0" w:color="auto"/>
        <w:left w:val="none" w:sz="0" w:space="0" w:color="auto"/>
        <w:bottom w:val="none" w:sz="0" w:space="0" w:color="auto"/>
        <w:right w:val="none" w:sz="0" w:space="0" w:color="auto"/>
      </w:divBdr>
    </w:div>
    <w:div w:id="704594811">
      <w:bodyDiv w:val="1"/>
      <w:marLeft w:val="0"/>
      <w:marRight w:val="0"/>
      <w:marTop w:val="0"/>
      <w:marBottom w:val="0"/>
      <w:divBdr>
        <w:top w:val="none" w:sz="0" w:space="0" w:color="auto"/>
        <w:left w:val="none" w:sz="0" w:space="0" w:color="auto"/>
        <w:bottom w:val="none" w:sz="0" w:space="0" w:color="auto"/>
        <w:right w:val="none" w:sz="0" w:space="0" w:color="auto"/>
      </w:divBdr>
    </w:div>
    <w:div w:id="720179950">
      <w:bodyDiv w:val="1"/>
      <w:marLeft w:val="0"/>
      <w:marRight w:val="0"/>
      <w:marTop w:val="0"/>
      <w:marBottom w:val="0"/>
      <w:divBdr>
        <w:top w:val="none" w:sz="0" w:space="0" w:color="auto"/>
        <w:left w:val="none" w:sz="0" w:space="0" w:color="auto"/>
        <w:bottom w:val="none" w:sz="0" w:space="0" w:color="auto"/>
        <w:right w:val="none" w:sz="0" w:space="0" w:color="auto"/>
      </w:divBdr>
    </w:div>
    <w:div w:id="720789695">
      <w:bodyDiv w:val="1"/>
      <w:marLeft w:val="0"/>
      <w:marRight w:val="0"/>
      <w:marTop w:val="0"/>
      <w:marBottom w:val="0"/>
      <w:divBdr>
        <w:top w:val="none" w:sz="0" w:space="0" w:color="auto"/>
        <w:left w:val="none" w:sz="0" w:space="0" w:color="auto"/>
        <w:bottom w:val="none" w:sz="0" w:space="0" w:color="auto"/>
        <w:right w:val="none" w:sz="0" w:space="0" w:color="auto"/>
      </w:divBdr>
    </w:div>
    <w:div w:id="768818437">
      <w:bodyDiv w:val="1"/>
      <w:marLeft w:val="0"/>
      <w:marRight w:val="0"/>
      <w:marTop w:val="0"/>
      <w:marBottom w:val="0"/>
      <w:divBdr>
        <w:top w:val="none" w:sz="0" w:space="0" w:color="auto"/>
        <w:left w:val="none" w:sz="0" w:space="0" w:color="auto"/>
        <w:bottom w:val="none" w:sz="0" w:space="0" w:color="auto"/>
        <w:right w:val="none" w:sz="0" w:space="0" w:color="auto"/>
      </w:divBdr>
    </w:div>
    <w:div w:id="792527219">
      <w:bodyDiv w:val="1"/>
      <w:marLeft w:val="0"/>
      <w:marRight w:val="0"/>
      <w:marTop w:val="0"/>
      <w:marBottom w:val="0"/>
      <w:divBdr>
        <w:top w:val="none" w:sz="0" w:space="0" w:color="auto"/>
        <w:left w:val="none" w:sz="0" w:space="0" w:color="auto"/>
        <w:bottom w:val="none" w:sz="0" w:space="0" w:color="auto"/>
        <w:right w:val="none" w:sz="0" w:space="0" w:color="auto"/>
      </w:divBdr>
    </w:div>
    <w:div w:id="820274553">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56887768">
      <w:bodyDiv w:val="1"/>
      <w:marLeft w:val="0"/>
      <w:marRight w:val="0"/>
      <w:marTop w:val="0"/>
      <w:marBottom w:val="0"/>
      <w:divBdr>
        <w:top w:val="none" w:sz="0" w:space="0" w:color="auto"/>
        <w:left w:val="none" w:sz="0" w:space="0" w:color="auto"/>
        <w:bottom w:val="none" w:sz="0" w:space="0" w:color="auto"/>
        <w:right w:val="none" w:sz="0" w:space="0" w:color="auto"/>
      </w:divBdr>
    </w:div>
    <w:div w:id="908153734">
      <w:bodyDiv w:val="1"/>
      <w:marLeft w:val="0"/>
      <w:marRight w:val="0"/>
      <w:marTop w:val="0"/>
      <w:marBottom w:val="0"/>
      <w:divBdr>
        <w:top w:val="none" w:sz="0" w:space="0" w:color="auto"/>
        <w:left w:val="none" w:sz="0" w:space="0" w:color="auto"/>
        <w:bottom w:val="none" w:sz="0" w:space="0" w:color="auto"/>
        <w:right w:val="none" w:sz="0" w:space="0" w:color="auto"/>
      </w:divBdr>
    </w:div>
    <w:div w:id="941181912">
      <w:bodyDiv w:val="1"/>
      <w:marLeft w:val="0"/>
      <w:marRight w:val="0"/>
      <w:marTop w:val="0"/>
      <w:marBottom w:val="0"/>
      <w:divBdr>
        <w:top w:val="none" w:sz="0" w:space="0" w:color="auto"/>
        <w:left w:val="none" w:sz="0" w:space="0" w:color="auto"/>
        <w:bottom w:val="none" w:sz="0" w:space="0" w:color="auto"/>
        <w:right w:val="none" w:sz="0" w:space="0" w:color="auto"/>
      </w:divBdr>
    </w:div>
    <w:div w:id="960956381">
      <w:bodyDiv w:val="1"/>
      <w:marLeft w:val="0"/>
      <w:marRight w:val="0"/>
      <w:marTop w:val="0"/>
      <w:marBottom w:val="0"/>
      <w:divBdr>
        <w:top w:val="none" w:sz="0" w:space="0" w:color="auto"/>
        <w:left w:val="none" w:sz="0" w:space="0" w:color="auto"/>
        <w:bottom w:val="none" w:sz="0" w:space="0" w:color="auto"/>
        <w:right w:val="none" w:sz="0" w:space="0" w:color="auto"/>
      </w:divBdr>
    </w:div>
    <w:div w:id="980042828">
      <w:bodyDiv w:val="1"/>
      <w:marLeft w:val="0"/>
      <w:marRight w:val="0"/>
      <w:marTop w:val="0"/>
      <w:marBottom w:val="0"/>
      <w:divBdr>
        <w:top w:val="none" w:sz="0" w:space="0" w:color="auto"/>
        <w:left w:val="none" w:sz="0" w:space="0" w:color="auto"/>
        <w:bottom w:val="none" w:sz="0" w:space="0" w:color="auto"/>
        <w:right w:val="none" w:sz="0" w:space="0" w:color="auto"/>
      </w:divBdr>
    </w:div>
    <w:div w:id="1010831929">
      <w:bodyDiv w:val="1"/>
      <w:marLeft w:val="0"/>
      <w:marRight w:val="0"/>
      <w:marTop w:val="0"/>
      <w:marBottom w:val="0"/>
      <w:divBdr>
        <w:top w:val="none" w:sz="0" w:space="0" w:color="auto"/>
        <w:left w:val="none" w:sz="0" w:space="0" w:color="auto"/>
        <w:bottom w:val="none" w:sz="0" w:space="0" w:color="auto"/>
        <w:right w:val="none" w:sz="0" w:space="0" w:color="auto"/>
      </w:divBdr>
    </w:div>
    <w:div w:id="1052118480">
      <w:bodyDiv w:val="1"/>
      <w:marLeft w:val="0"/>
      <w:marRight w:val="0"/>
      <w:marTop w:val="0"/>
      <w:marBottom w:val="0"/>
      <w:divBdr>
        <w:top w:val="none" w:sz="0" w:space="0" w:color="auto"/>
        <w:left w:val="none" w:sz="0" w:space="0" w:color="auto"/>
        <w:bottom w:val="none" w:sz="0" w:space="0" w:color="auto"/>
        <w:right w:val="none" w:sz="0" w:space="0" w:color="auto"/>
      </w:divBdr>
    </w:div>
    <w:div w:id="1057513781">
      <w:bodyDiv w:val="1"/>
      <w:marLeft w:val="0"/>
      <w:marRight w:val="0"/>
      <w:marTop w:val="0"/>
      <w:marBottom w:val="0"/>
      <w:divBdr>
        <w:top w:val="none" w:sz="0" w:space="0" w:color="auto"/>
        <w:left w:val="none" w:sz="0" w:space="0" w:color="auto"/>
        <w:bottom w:val="none" w:sz="0" w:space="0" w:color="auto"/>
        <w:right w:val="none" w:sz="0" w:space="0" w:color="auto"/>
      </w:divBdr>
    </w:div>
    <w:div w:id="1071461337">
      <w:bodyDiv w:val="1"/>
      <w:marLeft w:val="0"/>
      <w:marRight w:val="0"/>
      <w:marTop w:val="0"/>
      <w:marBottom w:val="0"/>
      <w:divBdr>
        <w:top w:val="none" w:sz="0" w:space="0" w:color="auto"/>
        <w:left w:val="none" w:sz="0" w:space="0" w:color="auto"/>
        <w:bottom w:val="none" w:sz="0" w:space="0" w:color="auto"/>
        <w:right w:val="none" w:sz="0" w:space="0" w:color="auto"/>
      </w:divBdr>
    </w:div>
    <w:div w:id="1120610148">
      <w:bodyDiv w:val="1"/>
      <w:marLeft w:val="0"/>
      <w:marRight w:val="0"/>
      <w:marTop w:val="0"/>
      <w:marBottom w:val="0"/>
      <w:divBdr>
        <w:top w:val="none" w:sz="0" w:space="0" w:color="auto"/>
        <w:left w:val="none" w:sz="0" w:space="0" w:color="auto"/>
        <w:bottom w:val="none" w:sz="0" w:space="0" w:color="auto"/>
        <w:right w:val="none" w:sz="0" w:space="0" w:color="auto"/>
      </w:divBdr>
    </w:div>
    <w:div w:id="1126777184">
      <w:bodyDiv w:val="1"/>
      <w:marLeft w:val="0"/>
      <w:marRight w:val="0"/>
      <w:marTop w:val="0"/>
      <w:marBottom w:val="0"/>
      <w:divBdr>
        <w:top w:val="none" w:sz="0" w:space="0" w:color="auto"/>
        <w:left w:val="none" w:sz="0" w:space="0" w:color="auto"/>
        <w:bottom w:val="none" w:sz="0" w:space="0" w:color="auto"/>
        <w:right w:val="none" w:sz="0" w:space="0" w:color="auto"/>
      </w:divBdr>
    </w:div>
    <w:div w:id="1134252218">
      <w:bodyDiv w:val="1"/>
      <w:marLeft w:val="0"/>
      <w:marRight w:val="0"/>
      <w:marTop w:val="0"/>
      <w:marBottom w:val="0"/>
      <w:divBdr>
        <w:top w:val="none" w:sz="0" w:space="0" w:color="auto"/>
        <w:left w:val="none" w:sz="0" w:space="0" w:color="auto"/>
        <w:bottom w:val="none" w:sz="0" w:space="0" w:color="auto"/>
        <w:right w:val="none" w:sz="0" w:space="0" w:color="auto"/>
      </w:divBdr>
    </w:div>
    <w:div w:id="1142231926">
      <w:bodyDiv w:val="1"/>
      <w:marLeft w:val="0"/>
      <w:marRight w:val="0"/>
      <w:marTop w:val="0"/>
      <w:marBottom w:val="0"/>
      <w:divBdr>
        <w:top w:val="none" w:sz="0" w:space="0" w:color="auto"/>
        <w:left w:val="none" w:sz="0" w:space="0" w:color="auto"/>
        <w:bottom w:val="none" w:sz="0" w:space="0" w:color="auto"/>
        <w:right w:val="none" w:sz="0" w:space="0" w:color="auto"/>
      </w:divBdr>
    </w:div>
    <w:div w:id="1162547037">
      <w:bodyDiv w:val="1"/>
      <w:marLeft w:val="0"/>
      <w:marRight w:val="0"/>
      <w:marTop w:val="0"/>
      <w:marBottom w:val="0"/>
      <w:divBdr>
        <w:top w:val="none" w:sz="0" w:space="0" w:color="auto"/>
        <w:left w:val="none" w:sz="0" w:space="0" w:color="auto"/>
        <w:bottom w:val="none" w:sz="0" w:space="0" w:color="auto"/>
        <w:right w:val="none" w:sz="0" w:space="0" w:color="auto"/>
      </w:divBdr>
    </w:div>
    <w:div w:id="1192037140">
      <w:bodyDiv w:val="1"/>
      <w:marLeft w:val="0"/>
      <w:marRight w:val="0"/>
      <w:marTop w:val="0"/>
      <w:marBottom w:val="0"/>
      <w:divBdr>
        <w:top w:val="none" w:sz="0" w:space="0" w:color="auto"/>
        <w:left w:val="none" w:sz="0" w:space="0" w:color="auto"/>
        <w:bottom w:val="none" w:sz="0" w:space="0" w:color="auto"/>
        <w:right w:val="none" w:sz="0" w:space="0" w:color="auto"/>
      </w:divBdr>
    </w:div>
    <w:div w:id="1205093114">
      <w:bodyDiv w:val="1"/>
      <w:marLeft w:val="0"/>
      <w:marRight w:val="0"/>
      <w:marTop w:val="0"/>
      <w:marBottom w:val="0"/>
      <w:divBdr>
        <w:top w:val="none" w:sz="0" w:space="0" w:color="auto"/>
        <w:left w:val="none" w:sz="0" w:space="0" w:color="auto"/>
        <w:bottom w:val="none" w:sz="0" w:space="0" w:color="auto"/>
        <w:right w:val="none" w:sz="0" w:space="0" w:color="auto"/>
      </w:divBdr>
    </w:div>
    <w:div w:id="1211304585">
      <w:bodyDiv w:val="1"/>
      <w:marLeft w:val="0"/>
      <w:marRight w:val="0"/>
      <w:marTop w:val="0"/>
      <w:marBottom w:val="0"/>
      <w:divBdr>
        <w:top w:val="none" w:sz="0" w:space="0" w:color="auto"/>
        <w:left w:val="none" w:sz="0" w:space="0" w:color="auto"/>
        <w:bottom w:val="none" w:sz="0" w:space="0" w:color="auto"/>
        <w:right w:val="none" w:sz="0" w:space="0" w:color="auto"/>
      </w:divBdr>
    </w:div>
    <w:div w:id="1212961609">
      <w:bodyDiv w:val="1"/>
      <w:marLeft w:val="0"/>
      <w:marRight w:val="0"/>
      <w:marTop w:val="0"/>
      <w:marBottom w:val="0"/>
      <w:divBdr>
        <w:top w:val="none" w:sz="0" w:space="0" w:color="auto"/>
        <w:left w:val="none" w:sz="0" w:space="0" w:color="auto"/>
        <w:bottom w:val="none" w:sz="0" w:space="0" w:color="auto"/>
        <w:right w:val="none" w:sz="0" w:space="0" w:color="auto"/>
      </w:divBdr>
    </w:div>
    <w:div w:id="1218396676">
      <w:bodyDiv w:val="1"/>
      <w:marLeft w:val="0"/>
      <w:marRight w:val="0"/>
      <w:marTop w:val="0"/>
      <w:marBottom w:val="0"/>
      <w:divBdr>
        <w:top w:val="none" w:sz="0" w:space="0" w:color="auto"/>
        <w:left w:val="none" w:sz="0" w:space="0" w:color="auto"/>
        <w:bottom w:val="none" w:sz="0" w:space="0" w:color="auto"/>
        <w:right w:val="none" w:sz="0" w:space="0" w:color="auto"/>
      </w:divBdr>
    </w:div>
    <w:div w:id="1240794302">
      <w:bodyDiv w:val="1"/>
      <w:marLeft w:val="0"/>
      <w:marRight w:val="0"/>
      <w:marTop w:val="0"/>
      <w:marBottom w:val="0"/>
      <w:divBdr>
        <w:top w:val="none" w:sz="0" w:space="0" w:color="auto"/>
        <w:left w:val="none" w:sz="0" w:space="0" w:color="auto"/>
        <w:bottom w:val="none" w:sz="0" w:space="0" w:color="auto"/>
        <w:right w:val="none" w:sz="0" w:space="0" w:color="auto"/>
      </w:divBdr>
    </w:div>
    <w:div w:id="1245070986">
      <w:bodyDiv w:val="1"/>
      <w:marLeft w:val="0"/>
      <w:marRight w:val="0"/>
      <w:marTop w:val="0"/>
      <w:marBottom w:val="0"/>
      <w:divBdr>
        <w:top w:val="none" w:sz="0" w:space="0" w:color="auto"/>
        <w:left w:val="none" w:sz="0" w:space="0" w:color="auto"/>
        <w:bottom w:val="none" w:sz="0" w:space="0" w:color="auto"/>
        <w:right w:val="none" w:sz="0" w:space="0" w:color="auto"/>
      </w:divBdr>
    </w:div>
    <w:div w:id="1258633023">
      <w:bodyDiv w:val="1"/>
      <w:marLeft w:val="0"/>
      <w:marRight w:val="0"/>
      <w:marTop w:val="0"/>
      <w:marBottom w:val="0"/>
      <w:divBdr>
        <w:top w:val="none" w:sz="0" w:space="0" w:color="auto"/>
        <w:left w:val="none" w:sz="0" w:space="0" w:color="auto"/>
        <w:bottom w:val="none" w:sz="0" w:space="0" w:color="auto"/>
        <w:right w:val="none" w:sz="0" w:space="0" w:color="auto"/>
      </w:divBdr>
    </w:div>
    <w:div w:id="1283225120">
      <w:bodyDiv w:val="1"/>
      <w:marLeft w:val="0"/>
      <w:marRight w:val="0"/>
      <w:marTop w:val="0"/>
      <w:marBottom w:val="0"/>
      <w:divBdr>
        <w:top w:val="none" w:sz="0" w:space="0" w:color="auto"/>
        <w:left w:val="none" w:sz="0" w:space="0" w:color="auto"/>
        <w:bottom w:val="none" w:sz="0" w:space="0" w:color="auto"/>
        <w:right w:val="none" w:sz="0" w:space="0" w:color="auto"/>
      </w:divBdr>
    </w:div>
    <w:div w:id="1300569956">
      <w:bodyDiv w:val="1"/>
      <w:marLeft w:val="0"/>
      <w:marRight w:val="0"/>
      <w:marTop w:val="0"/>
      <w:marBottom w:val="0"/>
      <w:divBdr>
        <w:top w:val="none" w:sz="0" w:space="0" w:color="auto"/>
        <w:left w:val="none" w:sz="0" w:space="0" w:color="auto"/>
        <w:bottom w:val="none" w:sz="0" w:space="0" w:color="auto"/>
        <w:right w:val="none" w:sz="0" w:space="0" w:color="auto"/>
      </w:divBdr>
    </w:div>
    <w:div w:id="1312826009">
      <w:bodyDiv w:val="1"/>
      <w:marLeft w:val="0"/>
      <w:marRight w:val="0"/>
      <w:marTop w:val="0"/>
      <w:marBottom w:val="0"/>
      <w:divBdr>
        <w:top w:val="none" w:sz="0" w:space="0" w:color="auto"/>
        <w:left w:val="none" w:sz="0" w:space="0" w:color="auto"/>
        <w:bottom w:val="none" w:sz="0" w:space="0" w:color="auto"/>
        <w:right w:val="none" w:sz="0" w:space="0" w:color="auto"/>
      </w:divBdr>
    </w:div>
    <w:div w:id="1320573589">
      <w:bodyDiv w:val="1"/>
      <w:marLeft w:val="0"/>
      <w:marRight w:val="0"/>
      <w:marTop w:val="0"/>
      <w:marBottom w:val="0"/>
      <w:divBdr>
        <w:top w:val="none" w:sz="0" w:space="0" w:color="auto"/>
        <w:left w:val="none" w:sz="0" w:space="0" w:color="auto"/>
        <w:bottom w:val="none" w:sz="0" w:space="0" w:color="auto"/>
        <w:right w:val="none" w:sz="0" w:space="0" w:color="auto"/>
      </w:divBdr>
    </w:div>
    <w:div w:id="1325620664">
      <w:bodyDiv w:val="1"/>
      <w:marLeft w:val="0"/>
      <w:marRight w:val="0"/>
      <w:marTop w:val="0"/>
      <w:marBottom w:val="0"/>
      <w:divBdr>
        <w:top w:val="none" w:sz="0" w:space="0" w:color="auto"/>
        <w:left w:val="none" w:sz="0" w:space="0" w:color="auto"/>
        <w:bottom w:val="none" w:sz="0" w:space="0" w:color="auto"/>
        <w:right w:val="none" w:sz="0" w:space="0" w:color="auto"/>
      </w:divBdr>
    </w:div>
    <w:div w:id="1345597104">
      <w:bodyDiv w:val="1"/>
      <w:marLeft w:val="0"/>
      <w:marRight w:val="0"/>
      <w:marTop w:val="0"/>
      <w:marBottom w:val="0"/>
      <w:divBdr>
        <w:top w:val="none" w:sz="0" w:space="0" w:color="auto"/>
        <w:left w:val="none" w:sz="0" w:space="0" w:color="auto"/>
        <w:bottom w:val="none" w:sz="0" w:space="0" w:color="auto"/>
        <w:right w:val="none" w:sz="0" w:space="0" w:color="auto"/>
      </w:divBdr>
    </w:div>
    <w:div w:id="1371150189">
      <w:bodyDiv w:val="1"/>
      <w:marLeft w:val="0"/>
      <w:marRight w:val="0"/>
      <w:marTop w:val="0"/>
      <w:marBottom w:val="0"/>
      <w:divBdr>
        <w:top w:val="none" w:sz="0" w:space="0" w:color="auto"/>
        <w:left w:val="none" w:sz="0" w:space="0" w:color="auto"/>
        <w:bottom w:val="none" w:sz="0" w:space="0" w:color="auto"/>
        <w:right w:val="none" w:sz="0" w:space="0" w:color="auto"/>
      </w:divBdr>
    </w:div>
    <w:div w:id="1385060061">
      <w:bodyDiv w:val="1"/>
      <w:marLeft w:val="0"/>
      <w:marRight w:val="0"/>
      <w:marTop w:val="0"/>
      <w:marBottom w:val="0"/>
      <w:divBdr>
        <w:top w:val="none" w:sz="0" w:space="0" w:color="auto"/>
        <w:left w:val="none" w:sz="0" w:space="0" w:color="auto"/>
        <w:bottom w:val="none" w:sz="0" w:space="0" w:color="auto"/>
        <w:right w:val="none" w:sz="0" w:space="0" w:color="auto"/>
      </w:divBdr>
    </w:div>
    <w:div w:id="1418331976">
      <w:bodyDiv w:val="1"/>
      <w:marLeft w:val="0"/>
      <w:marRight w:val="0"/>
      <w:marTop w:val="0"/>
      <w:marBottom w:val="0"/>
      <w:divBdr>
        <w:top w:val="none" w:sz="0" w:space="0" w:color="auto"/>
        <w:left w:val="none" w:sz="0" w:space="0" w:color="auto"/>
        <w:bottom w:val="none" w:sz="0" w:space="0" w:color="auto"/>
        <w:right w:val="none" w:sz="0" w:space="0" w:color="auto"/>
      </w:divBdr>
    </w:div>
    <w:div w:id="1419134734">
      <w:bodyDiv w:val="1"/>
      <w:marLeft w:val="0"/>
      <w:marRight w:val="0"/>
      <w:marTop w:val="0"/>
      <w:marBottom w:val="0"/>
      <w:divBdr>
        <w:top w:val="none" w:sz="0" w:space="0" w:color="auto"/>
        <w:left w:val="none" w:sz="0" w:space="0" w:color="auto"/>
        <w:bottom w:val="none" w:sz="0" w:space="0" w:color="auto"/>
        <w:right w:val="none" w:sz="0" w:space="0" w:color="auto"/>
      </w:divBdr>
    </w:div>
    <w:div w:id="1525438006">
      <w:bodyDiv w:val="1"/>
      <w:marLeft w:val="0"/>
      <w:marRight w:val="0"/>
      <w:marTop w:val="0"/>
      <w:marBottom w:val="0"/>
      <w:divBdr>
        <w:top w:val="none" w:sz="0" w:space="0" w:color="auto"/>
        <w:left w:val="none" w:sz="0" w:space="0" w:color="auto"/>
        <w:bottom w:val="none" w:sz="0" w:space="0" w:color="auto"/>
        <w:right w:val="none" w:sz="0" w:space="0" w:color="auto"/>
      </w:divBdr>
    </w:div>
    <w:div w:id="1530872350">
      <w:bodyDiv w:val="1"/>
      <w:marLeft w:val="0"/>
      <w:marRight w:val="0"/>
      <w:marTop w:val="0"/>
      <w:marBottom w:val="0"/>
      <w:divBdr>
        <w:top w:val="none" w:sz="0" w:space="0" w:color="auto"/>
        <w:left w:val="none" w:sz="0" w:space="0" w:color="auto"/>
        <w:bottom w:val="none" w:sz="0" w:space="0" w:color="auto"/>
        <w:right w:val="none" w:sz="0" w:space="0" w:color="auto"/>
      </w:divBdr>
    </w:div>
    <w:div w:id="1568608830">
      <w:bodyDiv w:val="1"/>
      <w:marLeft w:val="0"/>
      <w:marRight w:val="0"/>
      <w:marTop w:val="0"/>
      <w:marBottom w:val="0"/>
      <w:divBdr>
        <w:top w:val="none" w:sz="0" w:space="0" w:color="auto"/>
        <w:left w:val="none" w:sz="0" w:space="0" w:color="auto"/>
        <w:bottom w:val="none" w:sz="0" w:space="0" w:color="auto"/>
        <w:right w:val="none" w:sz="0" w:space="0" w:color="auto"/>
      </w:divBdr>
    </w:div>
    <w:div w:id="1632518685">
      <w:bodyDiv w:val="1"/>
      <w:marLeft w:val="0"/>
      <w:marRight w:val="0"/>
      <w:marTop w:val="0"/>
      <w:marBottom w:val="0"/>
      <w:divBdr>
        <w:top w:val="none" w:sz="0" w:space="0" w:color="auto"/>
        <w:left w:val="none" w:sz="0" w:space="0" w:color="auto"/>
        <w:bottom w:val="none" w:sz="0" w:space="0" w:color="auto"/>
        <w:right w:val="none" w:sz="0" w:space="0" w:color="auto"/>
      </w:divBdr>
    </w:div>
    <w:div w:id="1657420571">
      <w:bodyDiv w:val="1"/>
      <w:marLeft w:val="0"/>
      <w:marRight w:val="0"/>
      <w:marTop w:val="0"/>
      <w:marBottom w:val="0"/>
      <w:divBdr>
        <w:top w:val="none" w:sz="0" w:space="0" w:color="auto"/>
        <w:left w:val="none" w:sz="0" w:space="0" w:color="auto"/>
        <w:bottom w:val="none" w:sz="0" w:space="0" w:color="auto"/>
        <w:right w:val="none" w:sz="0" w:space="0" w:color="auto"/>
      </w:divBdr>
    </w:div>
    <w:div w:id="1661081132">
      <w:bodyDiv w:val="1"/>
      <w:marLeft w:val="0"/>
      <w:marRight w:val="0"/>
      <w:marTop w:val="0"/>
      <w:marBottom w:val="0"/>
      <w:divBdr>
        <w:top w:val="none" w:sz="0" w:space="0" w:color="auto"/>
        <w:left w:val="none" w:sz="0" w:space="0" w:color="auto"/>
        <w:bottom w:val="none" w:sz="0" w:space="0" w:color="auto"/>
        <w:right w:val="none" w:sz="0" w:space="0" w:color="auto"/>
      </w:divBdr>
    </w:div>
    <w:div w:id="1711101084">
      <w:bodyDiv w:val="1"/>
      <w:marLeft w:val="0"/>
      <w:marRight w:val="0"/>
      <w:marTop w:val="0"/>
      <w:marBottom w:val="0"/>
      <w:divBdr>
        <w:top w:val="none" w:sz="0" w:space="0" w:color="auto"/>
        <w:left w:val="none" w:sz="0" w:space="0" w:color="auto"/>
        <w:bottom w:val="none" w:sz="0" w:space="0" w:color="auto"/>
        <w:right w:val="none" w:sz="0" w:space="0" w:color="auto"/>
      </w:divBdr>
    </w:div>
    <w:div w:id="1735275944">
      <w:bodyDiv w:val="1"/>
      <w:marLeft w:val="0"/>
      <w:marRight w:val="0"/>
      <w:marTop w:val="0"/>
      <w:marBottom w:val="0"/>
      <w:divBdr>
        <w:top w:val="none" w:sz="0" w:space="0" w:color="auto"/>
        <w:left w:val="none" w:sz="0" w:space="0" w:color="auto"/>
        <w:bottom w:val="none" w:sz="0" w:space="0" w:color="auto"/>
        <w:right w:val="none" w:sz="0" w:space="0" w:color="auto"/>
      </w:divBdr>
    </w:div>
    <w:div w:id="1748965095">
      <w:bodyDiv w:val="1"/>
      <w:marLeft w:val="0"/>
      <w:marRight w:val="0"/>
      <w:marTop w:val="0"/>
      <w:marBottom w:val="0"/>
      <w:divBdr>
        <w:top w:val="none" w:sz="0" w:space="0" w:color="auto"/>
        <w:left w:val="none" w:sz="0" w:space="0" w:color="auto"/>
        <w:bottom w:val="none" w:sz="0" w:space="0" w:color="auto"/>
        <w:right w:val="none" w:sz="0" w:space="0" w:color="auto"/>
      </w:divBdr>
    </w:div>
    <w:div w:id="1765372029">
      <w:bodyDiv w:val="1"/>
      <w:marLeft w:val="0"/>
      <w:marRight w:val="0"/>
      <w:marTop w:val="0"/>
      <w:marBottom w:val="0"/>
      <w:divBdr>
        <w:top w:val="none" w:sz="0" w:space="0" w:color="auto"/>
        <w:left w:val="none" w:sz="0" w:space="0" w:color="auto"/>
        <w:bottom w:val="none" w:sz="0" w:space="0" w:color="auto"/>
        <w:right w:val="none" w:sz="0" w:space="0" w:color="auto"/>
      </w:divBdr>
    </w:div>
    <w:div w:id="1796022570">
      <w:bodyDiv w:val="1"/>
      <w:marLeft w:val="0"/>
      <w:marRight w:val="0"/>
      <w:marTop w:val="0"/>
      <w:marBottom w:val="0"/>
      <w:divBdr>
        <w:top w:val="none" w:sz="0" w:space="0" w:color="auto"/>
        <w:left w:val="none" w:sz="0" w:space="0" w:color="auto"/>
        <w:bottom w:val="none" w:sz="0" w:space="0" w:color="auto"/>
        <w:right w:val="none" w:sz="0" w:space="0" w:color="auto"/>
      </w:divBdr>
    </w:div>
    <w:div w:id="1803882056">
      <w:bodyDiv w:val="1"/>
      <w:marLeft w:val="0"/>
      <w:marRight w:val="0"/>
      <w:marTop w:val="0"/>
      <w:marBottom w:val="0"/>
      <w:divBdr>
        <w:top w:val="none" w:sz="0" w:space="0" w:color="auto"/>
        <w:left w:val="none" w:sz="0" w:space="0" w:color="auto"/>
        <w:bottom w:val="none" w:sz="0" w:space="0" w:color="auto"/>
        <w:right w:val="none" w:sz="0" w:space="0" w:color="auto"/>
      </w:divBdr>
    </w:div>
    <w:div w:id="1811441765">
      <w:bodyDiv w:val="1"/>
      <w:marLeft w:val="0"/>
      <w:marRight w:val="0"/>
      <w:marTop w:val="0"/>
      <w:marBottom w:val="0"/>
      <w:divBdr>
        <w:top w:val="none" w:sz="0" w:space="0" w:color="auto"/>
        <w:left w:val="none" w:sz="0" w:space="0" w:color="auto"/>
        <w:bottom w:val="none" w:sz="0" w:space="0" w:color="auto"/>
        <w:right w:val="none" w:sz="0" w:space="0" w:color="auto"/>
      </w:divBdr>
    </w:div>
    <w:div w:id="1834681159">
      <w:bodyDiv w:val="1"/>
      <w:marLeft w:val="0"/>
      <w:marRight w:val="0"/>
      <w:marTop w:val="0"/>
      <w:marBottom w:val="0"/>
      <w:divBdr>
        <w:top w:val="none" w:sz="0" w:space="0" w:color="auto"/>
        <w:left w:val="none" w:sz="0" w:space="0" w:color="auto"/>
        <w:bottom w:val="none" w:sz="0" w:space="0" w:color="auto"/>
        <w:right w:val="none" w:sz="0" w:space="0" w:color="auto"/>
      </w:divBdr>
    </w:div>
    <w:div w:id="1842701210">
      <w:bodyDiv w:val="1"/>
      <w:marLeft w:val="0"/>
      <w:marRight w:val="0"/>
      <w:marTop w:val="0"/>
      <w:marBottom w:val="0"/>
      <w:divBdr>
        <w:top w:val="none" w:sz="0" w:space="0" w:color="auto"/>
        <w:left w:val="none" w:sz="0" w:space="0" w:color="auto"/>
        <w:bottom w:val="none" w:sz="0" w:space="0" w:color="auto"/>
        <w:right w:val="none" w:sz="0" w:space="0" w:color="auto"/>
      </w:divBdr>
    </w:div>
    <w:div w:id="1863010790">
      <w:bodyDiv w:val="1"/>
      <w:marLeft w:val="0"/>
      <w:marRight w:val="0"/>
      <w:marTop w:val="0"/>
      <w:marBottom w:val="0"/>
      <w:divBdr>
        <w:top w:val="none" w:sz="0" w:space="0" w:color="auto"/>
        <w:left w:val="none" w:sz="0" w:space="0" w:color="auto"/>
        <w:bottom w:val="none" w:sz="0" w:space="0" w:color="auto"/>
        <w:right w:val="none" w:sz="0" w:space="0" w:color="auto"/>
      </w:divBdr>
    </w:div>
    <w:div w:id="1882013553">
      <w:bodyDiv w:val="1"/>
      <w:marLeft w:val="0"/>
      <w:marRight w:val="0"/>
      <w:marTop w:val="0"/>
      <w:marBottom w:val="0"/>
      <w:divBdr>
        <w:top w:val="none" w:sz="0" w:space="0" w:color="auto"/>
        <w:left w:val="none" w:sz="0" w:space="0" w:color="auto"/>
        <w:bottom w:val="none" w:sz="0" w:space="0" w:color="auto"/>
        <w:right w:val="none" w:sz="0" w:space="0" w:color="auto"/>
      </w:divBdr>
    </w:div>
    <w:div w:id="1928609988">
      <w:bodyDiv w:val="1"/>
      <w:marLeft w:val="0"/>
      <w:marRight w:val="0"/>
      <w:marTop w:val="0"/>
      <w:marBottom w:val="0"/>
      <w:divBdr>
        <w:top w:val="none" w:sz="0" w:space="0" w:color="auto"/>
        <w:left w:val="none" w:sz="0" w:space="0" w:color="auto"/>
        <w:bottom w:val="none" w:sz="0" w:space="0" w:color="auto"/>
        <w:right w:val="none" w:sz="0" w:space="0" w:color="auto"/>
      </w:divBdr>
    </w:div>
    <w:div w:id="1946841527">
      <w:bodyDiv w:val="1"/>
      <w:marLeft w:val="0"/>
      <w:marRight w:val="0"/>
      <w:marTop w:val="0"/>
      <w:marBottom w:val="0"/>
      <w:divBdr>
        <w:top w:val="none" w:sz="0" w:space="0" w:color="auto"/>
        <w:left w:val="none" w:sz="0" w:space="0" w:color="auto"/>
        <w:bottom w:val="none" w:sz="0" w:space="0" w:color="auto"/>
        <w:right w:val="none" w:sz="0" w:space="0" w:color="auto"/>
      </w:divBdr>
    </w:div>
    <w:div w:id="2010742561">
      <w:bodyDiv w:val="1"/>
      <w:marLeft w:val="0"/>
      <w:marRight w:val="0"/>
      <w:marTop w:val="0"/>
      <w:marBottom w:val="0"/>
      <w:divBdr>
        <w:top w:val="none" w:sz="0" w:space="0" w:color="auto"/>
        <w:left w:val="none" w:sz="0" w:space="0" w:color="auto"/>
        <w:bottom w:val="none" w:sz="0" w:space="0" w:color="auto"/>
        <w:right w:val="none" w:sz="0" w:space="0" w:color="auto"/>
      </w:divBdr>
    </w:div>
    <w:div w:id="2014524143">
      <w:bodyDiv w:val="1"/>
      <w:marLeft w:val="0"/>
      <w:marRight w:val="0"/>
      <w:marTop w:val="0"/>
      <w:marBottom w:val="0"/>
      <w:divBdr>
        <w:top w:val="none" w:sz="0" w:space="0" w:color="auto"/>
        <w:left w:val="none" w:sz="0" w:space="0" w:color="auto"/>
        <w:bottom w:val="none" w:sz="0" w:space="0" w:color="auto"/>
        <w:right w:val="none" w:sz="0" w:space="0" w:color="auto"/>
      </w:divBdr>
    </w:div>
    <w:div w:id="2030524254">
      <w:bodyDiv w:val="1"/>
      <w:marLeft w:val="0"/>
      <w:marRight w:val="0"/>
      <w:marTop w:val="0"/>
      <w:marBottom w:val="0"/>
      <w:divBdr>
        <w:top w:val="none" w:sz="0" w:space="0" w:color="auto"/>
        <w:left w:val="none" w:sz="0" w:space="0" w:color="auto"/>
        <w:bottom w:val="none" w:sz="0" w:space="0" w:color="auto"/>
        <w:right w:val="none" w:sz="0" w:space="0" w:color="auto"/>
      </w:divBdr>
    </w:div>
    <w:div w:id="2057193154">
      <w:bodyDiv w:val="1"/>
      <w:marLeft w:val="0"/>
      <w:marRight w:val="0"/>
      <w:marTop w:val="0"/>
      <w:marBottom w:val="0"/>
      <w:divBdr>
        <w:top w:val="none" w:sz="0" w:space="0" w:color="auto"/>
        <w:left w:val="none" w:sz="0" w:space="0" w:color="auto"/>
        <w:bottom w:val="none" w:sz="0" w:space="0" w:color="auto"/>
        <w:right w:val="none" w:sz="0" w:space="0" w:color="auto"/>
      </w:divBdr>
    </w:div>
    <w:div w:id="2065637651">
      <w:bodyDiv w:val="1"/>
      <w:marLeft w:val="0"/>
      <w:marRight w:val="0"/>
      <w:marTop w:val="0"/>
      <w:marBottom w:val="0"/>
      <w:divBdr>
        <w:top w:val="none" w:sz="0" w:space="0" w:color="auto"/>
        <w:left w:val="none" w:sz="0" w:space="0" w:color="auto"/>
        <w:bottom w:val="none" w:sz="0" w:space="0" w:color="auto"/>
        <w:right w:val="none" w:sz="0" w:space="0" w:color="auto"/>
      </w:divBdr>
    </w:div>
    <w:div w:id="2082406828">
      <w:bodyDiv w:val="1"/>
      <w:marLeft w:val="0"/>
      <w:marRight w:val="0"/>
      <w:marTop w:val="0"/>
      <w:marBottom w:val="0"/>
      <w:divBdr>
        <w:top w:val="none" w:sz="0" w:space="0" w:color="auto"/>
        <w:left w:val="none" w:sz="0" w:space="0" w:color="auto"/>
        <w:bottom w:val="none" w:sz="0" w:space="0" w:color="auto"/>
        <w:right w:val="none" w:sz="0" w:space="0" w:color="auto"/>
      </w:divBdr>
    </w:div>
    <w:div w:id="2093968582">
      <w:bodyDiv w:val="1"/>
      <w:marLeft w:val="0"/>
      <w:marRight w:val="0"/>
      <w:marTop w:val="0"/>
      <w:marBottom w:val="0"/>
      <w:divBdr>
        <w:top w:val="none" w:sz="0" w:space="0" w:color="auto"/>
        <w:left w:val="none" w:sz="0" w:space="0" w:color="auto"/>
        <w:bottom w:val="none" w:sz="0" w:space="0" w:color="auto"/>
        <w:right w:val="none" w:sz="0" w:space="0" w:color="auto"/>
      </w:divBdr>
    </w:div>
    <w:div w:id="2097625525">
      <w:bodyDiv w:val="1"/>
      <w:marLeft w:val="0"/>
      <w:marRight w:val="0"/>
      <w:marTop w:val="0"/>
      <w:marBottom w:val="0"/>
      <w:divBdr>
        <w:top w:val="none" w:sz="0" w:space="0" w:color="auto"/>
        <w:left w:val="none" w:sz="0" w:space="0" w:color="auto"/>
        <w:bottom w:val="none" w:sz="0" w:space="0" w:color="auto"/>
        <w:right w:val="none" w:sz="0" w:space="0" w:color="auto"/>
      </w:divBdr>
    </w:div>
    <w:div w:id="2107387535">
      <w:bodyDiv w:val="1"/>
      <w:marLeft w:val="0"/>
      <w:marRight w:val="0"/>
      <w:marTop w:val="0"/>
      <w:marBottom w:val="0"/>
      <w:divBdr>
        <w:top w:val="none" w:sz="0" w:space="0" w:color="auto"/>
        <w:left w:val="none" w:sz="0" w:space="0" w:color="auto"/>
        <w:bottom w:val="none" w:sz="0" w:space="0" w:color="auto"/>
        <w:right w:val="none" w:sz="0" w:space="0" w:color="auto"/>
      </w:divBdr>
    </w:div>
    <w:div w:id="2124304240">
      <w:bodyDiv w:val="1"/>
      <w:marLeft w:val="0"/>
      <w:marRight w:val="0"/>
      <w:marTop w:val="0"/>
      <w:marBottom w:val="0"/>
      <w:divBdr>
        <w:top w:val="none" w:sz="0" w:space="0" w:color="auto"/>
        <w:left w:val="none" w:sz="0" w:space="0" w:color="auto"/>
        <w:bottom w:val="none" w:sz="0" w:space="0" w:color="auto"/>
        <w:right w:val="none" w:sz="0" w:space="0" w:color="auto"/>
      </w:divBdr>
    </w:div>
    <w:div w:id="2134639811">
      <w:bodyDiv w:val="1"/>
      <w:marLeft w:val="0"/>
      <w:marRight w:val="0"/>
      <w:marTop w:val="0"/>
      <w:marBottom w:val="0"/>
      <w:divBdr>
        <w:top w:val="none" w:sz="0" w:space="0" w:color="auto"/>
        <w:left w:val="none" w:sz="0" w:space="0" w:color="auto"/>
        <w:bottom w:val="none" w:sz="0" w:space="0" w:color="auto"/>
        <w:right w:val="none" w:sz="0" w:space="0" w:color="auto"/>
      </w:divBdr>
    </w:div>
    <w:div w:id="214192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2529</Words>
  <Characters>13657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Ferreira</dc:creator>
  <cp:lastModifiedBy>Marivalde Kons</cp:lastModifiedBy>
  <cp:revision>9</cp:revision>
  <cp:lastPrinted>2020-09-18T21:03:00Z</cp:lastPrinted>
  <dcterms:created xsi:type="dcterms:W3CDTF">2020-09-28T18:30:00Z</dcterms:created>
  <dcterms:modified xsi:type="dcterms:W3CDTF">2020-09-28T18:37:00Z</dcterms:modified>
</cp:coreProperties>
</file>